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5a5685e2a040b1" /></Relationships>
</file>

<file path=word/document.xml><?xml version="1.0" encoding="utf-8"?>
<w:document xmlns:w="http://schemas.openxmlformats.org/wordprocessingml/2006/main">
  <w:body>
    <w:p>
      <w:pPr>
        <w:pStyle w:val="kar_citation"/>
      </w:pPr>
      <w:r>
        <w:t>803 KAR 2:411.</w:t>
      </w:r>
      <w:r>
        <w:t xml:space="preserve"> </w:t>
      </w:r>
      <w:r>
        <w:t xml:space="preserve">Scaffolds.</w:t>
      </w:r>
    </w:p>
    <w:p>
      <w:pPr>
        <w:pStyle w:val="kar_markup_metadata"/>
      </w:pPr>
      <w:r>
        <w:t xml:space="preserve">RELATES TO: </w:t>
      </w:r>
      <w:r>
        <w:t xml:space="preserve">KRS 338.051, 338.061, 29 C.F.R. 1926.450-454</w:t>
      </w:r>
    </w:p>
    <w:p>
      <w:pPr>
        <w:pStyle w:val="kar_markup_metadata"/>
      </w:pPr>
      <w:r>
        <w:t xml:space="preserve">STATUTORY AUTHORITY: </w:t>
      </w:r>
      <w:r>
        <w:t xml:space="preserve">KRS 338.051(3), 338.061, 29 C.F.R. 1926</w:t>
      </w:r>
    </w:p>
    <w:p>
      <w:pPr>
        <w:pStyle w:val="kar_markup_metadata"/>
      </w:pPr>
      <w:r>
        <w:t xml:space="preserve">NECESSITY, FUNCTION, AND CONFORMITY: </w:t>
      </w:r>
      <w:r>
        <w:t xml:space="preserve">KRS 338.051(3) requires the Kentucky Occupational Safety and Health Standards Board to adopt and promulgate occupational safety and health administrative regulations. The following administrative regulation contains those standards to be enforced by the Division of Occupational Safety and Health Compliance in the area of construction.</w:t>
      </w:r>
    </w:p>
    <w:p>
      <w:pPr>
        <w:pStyle w:val="kar_section"/>
      </w:pPr>
      <w:r>
        <w:t xml:space="preserve">Section 1.</w:t>
      </w:r>
      <w:r>
        <w:t xml:space="preserve"> </w:t>
      </w:r>
      <w:r>
        <w:t xml:space="preserve">Section 1. 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Labor"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is defined by KRS 338.015(3).</w:t>
      </w:r>
    </w:p>
    <w:p>
      <w:pPr>
        <w:pStyle w:val="kar_subsection"/>
      </w:pPr>
      <w:r>
        <w:t xml:space="preserve">(10)</w:t>
      </w:r>
      <w:r>
        <w:t xml:space="preserve"> </w:t>
      </w:r>
      <w:r>
        <w:t xml:space="preserve">"U.S. Department of Labor" means U.S. Department of Labor or Kentucky Labor Cabinet, U.S. 127 South, Frankfort, Kentucky 40601.</w:t>
      </w:r>
    </w:p>
    <w:p>
      <w:pPr>
        <w:pStyle w:val="kar_section"/>
      </w:pPr>
      <w:r>
        <w:t xml:space="preserve">Section 2.</w:t>
      </w:r>
      <w:r>
        <w:t xml:space="preserve"> </w:t>
      </w:r>
      <w:r>
        <w:t xml:space="preserve">The construction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1926.450.-1926.454, revised July 1, 2012; and</w:t>
      </w:r>
    </w:p>
    <w:p>
      <w:pPr>
        <w:pStyle w:val="kar_subsection"/>
      </w:pPr>
      <w:r>
        <w:t xml:space="preserve">(2)</w:t>
      </w:r>
      <w:r>
        <w:t xml:space="preserve"> </w:t>
      </w:r>
      <w:r>
        <w:t xml:space="preserve">The revisions to Appendix A of 29 C.F.R. 1926 Subpart L, as published in the August 7, 2012 Federal Register, Volume 77, Number 152.</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713; eff. 12-15-89; Am. 17 Ky.R. 3515; eff. 8-2-91; 20 Ky.R. 2719; eff. 5-11-94; 23 Ky.R. 3949; eff. 7-17-97; 24 Ky.R. 1158; 1518; eff. 4-15-98; TAm eff. 8-9-2007; 37 Ky.R. 1059; eff. 1-3-2011; 40 Ky.R. 159; eff. 10-4-2013; Certified to be amended, filing deadline 4-1-2022.)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bc8ccf47244414" /><Relationship Type="http://schemas.openxmlformats.org/officeDocument/2006/relationships/settings" Target="/word/settings.xml" Id="Rbab51c65f99d4040" /></Relationships>
</file>