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5dc13def004c75" /></Relationships>
</file>

<file path=word/document.xml><?xml version="1.0" encoding="utf-8"?>
<w:document xmlns:w="http://schemas.openxmlformats.org/wordprocessingml/2006/main">
  <w:body>
    <w:p>
      <w:pPr>
        <w:pStyle w:val="kar_citation"/>
      </w:pPr>
      <w:r>
        <w:t>803 KAR 2:419.</w:t>
      </w:r>
      <w:r>
        <w:t xml:space="preserve"> </w:t>
      </w:r>
      <w:r>
        <w:t xml:space="preserve">Adoption of 29 C.F.R. Part 1926.850-860.</w:t>
      </w:r>
    </w:p>
    <w:p>
      <w:pPr>
        <w:pStyle w:val="kar_markup_metadata"/>
      </w:pPr>
      <w:r>
        <w:t xml:space="preserve">RELATES TO: </w:t>
      </w:r>
      <w:r>
        <w:t xml:space="preserve">KRS Chapter 338, 29 C.F.R. 1926.850 - 860</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and 338.061 require the Kentucky Occupational Safety and Health Standards Board to promulgate occupational safety and health rules, administrative regulations, and standards. The following administrative regulation contains those standards to be enforced by the Division of Occupational Safety and Health Compliance in the area of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 Labor Cabinet, or Commissioner, Department of Workplace Standards,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the definitions established in Section 1 of this administrative regulation, the construction industry shall comply with the following federal regulations published by the Office of the Federal Register, National Archives and Records Services, General Services Administration:</w:t>
      </w:r>
    </w:p>
    <w:p>
      <w:pPr>
        <w:pStyle w:val="kar_subsection"/>
      </w:pPr>
      <w:r>
        <w:t xml:space="preserve">(1)</w:t>
      </w:r>
      <w:r>
        <w:t xml:space="preserve"> </w:t>
      </w:r>
      <w:r>
        <w:t xml:space="preserve">29 C.F.R. 1926.600-1926.606, revised July 1, 2012; and</w:t>
      </w:r>
    </w:p>
    <w:p>
      <w:pPr>
        <w:pStyle w:val="kar_subsection"/>
      </w:pPr>
      <w:r>
        <w:t xml:space="preserve">(2)</w:t>
      </w:r>
      <w:r>
        <w:t xml:space="preserve"> </w:t>
      </w:r>
      <w:r>
        <w:t xml:space="preserve">The amendments to 29 C.F.R. 1926.856 and 1926.858 as published in the April 23, 2013 Federal Register, Volume 78, Number 78.</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1104; eff. 12-15-89; TAm eff. 8-9-2007; 37 Ky.R. 1073; Am. 1438; eff. 1-3-2010; 40 Ky.R. 163; 545; eff. 10-4-2013; Certified to be amended, filing deadline 4-1-2022.)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f31dce1b944703" /><Relationship Type="http://schemas.openxmlformats.org/officeDocument/2006/relationships/settings" Target="/word/settings.xml" Id="R84f96d4a3726430e" /></Relationships>
</file>