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31789f065e48b5" /></Relationships>
</file>

<file path=word/document.xml><?xml version="1.0" encoding="utf-8"?>
<w:document xmlns:w="http://schemas.openxmlformats.org/wordprocessingml/2006/main">
  <w:body>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 salary formerly paid in the classified or unclassified service, if that salary is within the current pay grade.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 the appointing authority shall determine the salary in one (1) of the following ways:</w:t>
      </w:r>
    </w:p>
    <w:p>
      <w:pPr>
        <w:pStyle w:val="kar_paragraph"/>
      </w:pPr>
      <w:r>
        <w:t xml:space="preserve">(a)</w:t>
      </w:r>
      <w:r>
        <w:t xml:space="preserve"> </w:t>
      </w:r>
      <w:r>
        <w:t xml:space="preserve">The employee's salary shall be reduced to a rate that is not below the minimum for the job classification to which the demotion is made;</w:t>
      </w:r>
    </w:p>
    <w:p>
      <w:pPr>
        <w:pStyle w:val="kar_paragraph"/>
      </w:pPr>
      <w:r>
        <w:t xml:space="preserve">(b)</w:t>
      </w:r>
      <w:r>
        <w:t xml:space="preserve"> </w:t>
      </w:r>
      <w:r>
        <w:t xml:space="preserve">The employee shall retain the salary received prior to the demotion. If the employee's salary is not reduced upon demotion, the appointing authority shall explain the reason in writing and place the explanation in the employee's personnel files;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An employee who is detailed to special duty to the same or lower grade shall continue to receive the same salary.</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or</w:t>
      </w:r>
    </w:p>
    <w:p>
      <w:pPr>
        <w:pStyle w:val="kar_subparagraph"/>
      </w:pPr>
      <w:r>
        <w:t xml:space="preserve">2.</w:t>
      </w:r>
      <w:r>
        <w:t xml:space="preserve"> </w:t>
      </w:r>
      <w:r>
        <w:t xml:space="preserve">The greater of the new grade minimum or ten (10) percent.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or ten (10) percent advancement as a result of a grade change on or after January 1, 1999. The total adjustment under this provision when combined with an increase at the time of the grade change shall equal five (5) percent or ten (10) percent of the employee's salary immediately prior to the grade change. Such adjustment shall not be retroactive.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 (2).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 (2).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the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Upon request by an appointing authority, the secretary may authorize the payment of a locality premium for an employee who is regularly or temporarily assigned to work in a job classification, work county, and organizational unit where the agency can demonstrate sustained recruitment and retention issues impacting the mission of the agency.</w:t>
      </w:r>
    </w:p>
    <w:p>
      <w:pPr>
        <w:pStyle w:val="kar_paragraph"/>
      </w:pPr>
      <w:r>
        <w:t xml:space="preserve">(b)</w:t>
      </w:r>
      <w:r>
        <w:t xml:space="preserve"> </w:t>
      </w:r>
      <w:r>
        <w:t xml:space="preserve">Once authorized,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established an annual increment date and has worked at least twenty-four (24) consecutive months in KRS Chapter 18A state service, twelve (12) consecutive months of which is in the department or office granting the award;</w:t>
      </w:r>
    </w:p>
    <w:p>
      <w:pPr>
        <w:pStyle w:val="kar_paragraph"/>
      </w:pPr>
      <w:r>
        <w:t xml:space="preserve">(b)</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(c)</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not grant an ERA to more than twenty-five (25) percent of the total number of full-time employees in a department or office in a calendar year.</w:t>
      </w:r>
    </w:p>
    <w:p>
      <w:pPr>
        <w:pStyle w:val="kar_subsection"/>
      </w:pPr>
      <w:r>
        <w:t xml:space="preserve">(6)</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not grant an ACE award to more than twenty-five (25) percent of the total number of full-time employees in a department or office in a calendar year.</w:t>
      </w:r>
    </w:p>
    <w:p>
      <w:pPr>
        <w:pStyle w:val="kar_subsection"/>
      </w:pPr>
      <w:r>
        <w:t xml:space="preserve">(5)</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11.</w:t>
      </w:r>
      <w:r>
        <w:t xml:space="preserve"> </w:t>
      </w:r>
      <w:r>
        <w:t xml:space="preserve">Adoption Benefit Program. The provisions of the Adoption Benefit Program established in 101 KAR 2:120 shall apply to an employee in the unclassified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1248; 2173; eff. 12-6-1990; 21 Ky.R. 1742; 2094; eff. 2-8-1995; 22 Ky.R. 1666; eff. 5-16-1996; 26 Ky.R. 106; 581; eff. 8-25-1999; 42 Ky.R. 91; 664; eff. 10-2-2015; 43 Ky.R. 1011; eff. 3-3-2017; 45 Ky.R. 139, 646; eff. 10-5-2018; 45 Ky.R. 2960, 3394; eff. 7-5-2019; TAm eff. 4-16-2021.)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d22490e28547bf" /><Relationship Type="http://schemas.openxmlformats.org/officeDocument/2006/relationships/settings" Target="/word/settings.xml" Id="R135e93193ba54f29" /></Relationships>
</file>