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4f8c59ae06458a" /></Relationships>
</file>

<file path=word/document.xml><?xml version="1.0" encoding="utf-8"?>
<w:document xmlns:w="http://schemas.openxmlformats.org/wordprocessingml/2006/main">
  <w:body>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a schedule of fees is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2020 Kentucky Workers' Compensation Schedule of Fees for Physicians.</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2020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listed shall be determined and calculated in accordance with numerical paragraph six (6)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be subject to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"2020 Kentucky Workers' Compensation Schedule of Fees for Physicians", July 1, 2020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1603; eff. 2-9-1995; 23 Ky.R. 1750; 2485; eff. 12-12-1996; 25 Ky.R. 915; 1362; eff. 11-18-1998; 28 Ky.R. 1226; eff. 1-14-2002; 32 Ky.R. 747; eff. 1-6-2006; 35 Ky.R. 404, eff. 12-5-2008; 37 Ky.R. 1078 1492; eff. 3-4-2011; 40 Ky.R. 1907; 2304; eff. 6-6-2014; 43 Ky.R. 28, 404; eff. 10-7-2016; 45 Ky.R. 158, 1193; eff. 12-7-2018; 47 Ky.R. 382, 1217;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46c29570554f14" /><Relationship Type="http://schemas.openxmlformats.org/officeDocument/2006/relationships/settings" Target="/word/settings.xml" Id="R7e82daa10b1b4cde" /></Relationships>
</file>