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d46ab969904e41" /></Relationships>
</file>

<file path=word/document.xml><?xml version="1.0" encoding="utf-8"?>
<w:document xmlns:w="http://schemas.openxmlformats.org/wordprocessingml/2006/main">
  <w:body>
    <w:p>
      <w:pPr>
        <w:pStyle w:val="kar_citation"/>
      </w:pPr>
      <w:r>
        <w:t>102 KAR 1:010.</w:t>
      </w:r>
      <w:r>
        <w:t xml:space="preserve"> </w:t>
      </w:r>
      <w:r>
        <w:t xml:space="preserve">Rules and administrative regulations.</w:t>
      </w:r>
    </w:p>
    <w:p>
      <w:pPr>
        <w:pStyle w:val="kar_markup_metadata"/>
      </w:pPr>
      <w:r>
        <w:t xml:space="preserve">RELATES TO: </w:t>
      </w:r>
      <w:r>
        <w:t xml:space="preserve">KRS 161.220-161.710</w:t>
      </w:r>
    </w:p>
    <w:p>
      <w:pPr>
        <w:pStyle w:val="kar_markup_metadata"/>
      </w:pPr>
      <w:r>
        <w:t xml:space="preserve">STATUTORY AUTHORITY: </w:t>
      </w:r>
      <w:r>
        <w:t xml:space="preserve">KRS 161.310</w:t>
      </w:r>
    </w:p>
    <w:p>
      <w:pPr>
        <w:pStyle w:val="kar_markup_metadata"/>
      </w:pPr>
      <w:r>
        <w:t xml:space="preserve">NECESSITY, FUNCTION, AND CONFORMITY: </w:t>
      </w:r>
      <w:r>
        <w:t xml:space="preserve">Each school district and educational agency which employs members of the Teachers' Retirement System has the right to adopt rules and administrative regulations which affect their employees. This administrative regulation is intended to assure that such rules and administrative regulations which refer to the Teachers' Retirement System are in conformity with the statutes and administrative regulations under which the system operates.</w:t>
      </w:r>
    </w:p>
    <w:p>
      <w:pPr>
        <w:pStyle w:val="kar_section"/>
      </w:pPr>
      <w:r>
        <w:t xml:space="preserve">Section 1.</w:t>
      </w:r>
      <w:r>
        <w:t xml:space="preserve"> </w:t>
      </w:r>
      <w:r>
        <w:t xml:space="preserve">All rules and administrative regulations of school districts and institutions of learning relating to retirement shall conform to the Teachers' Retirement Act.</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001:010. TRS-1; 1 Ky.R. 460; eff. 3-12-1975;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c56e434ef843a2" /><Relationship Type="http://schemas.openxmlformats.org/officeDocument/2006/relationships/settings" Target="/word/settings.xml" Id="Rb1d2e29c6e08478a" /></Relationships>
</file>