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5a60e0bc7934729" /></Relationships>
</file>

<file path=word/document.xml><?xml version="1.0" encoding="utf-8"?>
<w:document xmlns:w="http://schemas.openxmlformats.org/wordprocessingml/2006/main">
  <w:body>
    <w:p>
      <w:pPr>
        <w:pStyle w:val="kar_citation"/>
      </w:pPr>
      <w:r>
        <w:t>805 KAR 4:020.</w:t>
      </w:r>
      <w:r>
        <w:t xml:space="preserve"> </w:t>
      </w:r>
      <w:r>
        <w:t xml:space="preserve">Blasting standards.</w:t>
      </w:r>
    </w:p>
    <w:p>
      <w:pPr>
        <w:pStyle w:val="kar_markup_metadata"/>
      </w:pPr>
      <w:r>
        <w:t xml:space="preserve">RELATES TO: </w:t>
      </w:r>
      <w:r>
        <w:t xml:space="preserve">KRS 351.330, 351.990</w:t>
      </w:r>
    </w:p>
    <w:p>
      <w:pPr>
        <w:pStyle w:val="kar_markup_metadata"/>
      </w:pPr>
      <w:r>
        <w:t xml:space="preserve">STATUTORY AUTHORITY: </w:t>
      </w:r>
      <w:r>
        <w:t xml:space="preserve">KRS 351.330, 351.335</w:t>
      </w:r>
    </w:p>
    <w:p>
      <w:pPr>
        <w:pStyle w:val="kar_markup_metadata"/>
      </w:pPr>
      <w:r>
        <w:t xml:space="preserve">NECESSITY, FUNCTION, AND CONFORMITY: </w:t>
      </w:r>
      <w:r>
        <w:t xml:space="preserve">KRS 351.330 requires the Department for Natural Resources to limit ground vibrations. This administrative regulation effects the provisions of that law.</w:t>
      </w:r>
    </w:p>
    <w:p>
      <w:pPr>
        <w:pStyle w:val="kar_section"/>
      </w:pPr>
      <w:r>
        <w:t xml:space="preserve">Section 1.</w:t>
      </w:r>
      <w:r>
        <w:t xml:space="preserve"> </w:t>
      </w:r>
      <w:r>
        <w:t xml:space="preserve">Blasting Standards.</w:t>
      </w:r>
    </w:p>
    <w:p>
      <w:pPr>
        <w:pStyle w:val="kar_subsection"/>
      </w:pPr>
      <w:r>
        <w:t xml:space="preserve">(1)</w:t>
      </w:r>
      <w:r>
        <w:t xml:space="preserve"> </w:t>
      </w:r>
      <w:r>
        <w:t xml:space="preserve">In all blasting operations, except as hereinafter otherwise provided, the maximum peak particle velocity of the ground motion in any direction shall not exceed two (2) inches per second at the immediate location of any dwelling house, public building, school, church, commercial or institutional building.</w:t>
      </w:r>
    </w:p>
    <w:p>
      <w:pPr>
        <w:pStyle w:val="kar_subsection"/>
      </w:pPr>
      <w:r>
        <w:t xml:space="preserve">(2)</w:t>
      </w:r>
      <w:r>
        <w:t xml:space="preserve"> </w:t>
      </w:r>
      <w:r>
        <w:t xml:space="preserve">This ground velocity limit is not construed to mean property owned, leased, or contracted by the blaster or blaster's company or property on which the owner gives a written waiver.</w:t>
      </w:r>
    </w:p>
    <w:p>
      <w:pPr>
        <w:pStyle w:val="kar_subsection"/>
      </w:pPr>
      <w:r>
        <w:t xml:space="preserve">(3)</w:t>
      </w:r>
      <w:r>
        <w:t xml:space="preserve"> </w:t>
      </w:r>
      <w:r>
        <w:t xml:space="preserve">No two (2) consecutive subcharges within any charge shall be separated by a delay time of less than eight (8) milliseconds.</w:t>
      </w:r>
    </w:p>
    <w:p>
      <w:pPr>
        <w:pStyle w:val="kar_subsection"/>
      </w:pPr>
      <w:r>
        <w:t xml:space="preserve">(4)</w:t>
      </w:r>
      <w:r>
        <w:t xml:space="preserve"> </w:t>
      </w:r>
      <w:r>
        <w:t xml:space="preserve">The department will furnish a table for determining the maximum amount of explosives to be used per delay period.</w:t>
      </w:r>
    </w:p>
    <w:p>
      <w:pPr>
        <w:pStyle w:val="kar_subsection"/>
      </w:pPr>
      <w:r>
        <w:t xml:space="preserve">(5)</w:t>
      </w:r>
      <w:r>
        <w:t xml:space="preserve"> </w:t>
      </w:r>
      <w:r>
        <w:t xml:space="preserve">The standard table for the maximum charge per delay shall be distances greater than 300 feet generated by the formula: W (D/50) (D/50) Where W is the weight of explosive in pounds and D is the distance to the nearest dwelling house, public building, school, church, commercial or institutional building in feet. On sites where the department decides it necessary to comply with the provision of the law this formula may be altered.</w:t>
      </w:r>
    </w:p>
    <w:p>
      <w:pPr>
        <w:pStyle w:val="kar_subsection"/>
      </w:pPr>
      <w:r>
        <w:t xml:space="preserve">(6)</w:t>
      </w:r>
      <w:r>
        <w:t xml:space="preserve"> </w:t>
      </w:r>
      <w:r>
        <w:t xml:space="preserve">For the purpose of well shooting below 100 feet, the table shall be generated by the formula: W (D/50) (D/50) (D/50) Where W is the total weight of explosives in the hole and D is the distance from the charge to the nearest dwelling house, public building, school, church, commercial or institutional building.</w:t>
      </w:r>
    </w:p>
    <w:p>
      <w:pPr>
        <w:pStyle w:val="kar_subsection"/>
      </w:pPr>
      <w:r>
        <w:t xml:space="preserve">(7)</w:t>
      </w:r>
      <w:r>
        <w:t xml:space="preserve"> </w:t>
      </w:r>
      <w:r>
        <w:t xml:space="preserve">If on a particular site the peak ground particle velocity continuously exceed one-half (1/2) inch per second after a period of one (1) second following the maximum ground particle velocity, the department shall require the total time delay of blasting operations to be less than 200 milliseconds or the charge per delay to be reduced so that this limit is complied with.</w:t>
      </w:r>
    </w:p>
    <w:p>
      <w:pPr>
        <w:pStyle w:val="kar_subsection"/>
      </w:pPr>
      <w:r>
        <w:t xml:space="preserve">(8)</w:t>
      </w:r>
      <w:r>
        <w:t xml:space="preserve"> </w:t>
      </w:r>
      <w:r>
        <w:t xml:space="preserve">For distances less than 300 feet the following table will be used:</w:t>
      </w:r>
    </w:p>
    <w:tbl>
      <w:tblPr>
        <w:tblStyle w:val="kar_table"/>
        <w:tblW w:w="0" w:type="auto"/>
      </w:tblPr>
      <w:tblGrid>
        <w:gridCol w:w="1"/>
        <w:gridCol w:w="1"/>
      </w:tblGrid>
      <w:tr>
        <w:tc>
          <w:tcPr/>
          <w:p>
            <w:pPr>
              <w:pStyle w:val="kar_table_cell"/>
              <w:jc w:val="center"/>
            </w:pPr>
            <w:r>
              <w:t xml:space="preserve">Actual Distance</w:t>
            </w:r>
          </w:p>
        </w:tc>
        <w:tc>
          <w:tcPr/>
          <w:p>
            <w:pPr>
              <w:pStyle w:val="kar_table_cell"/>
              <w:jc w:val="center"/>
            </w:pPr>
            <w:r>
              <w:t xml:space="preserve">Pounds Per Delay Interval of</w:t>
            </w:r>
          </w:p>
        </w:tc>
      </w:tr>
      <w:tr>
        <w:tc>
          <w:tcPr/>
          <w:p>
            <w:pPr>
              <w:pStyle w:val="kar_table_cell"/>
              <w:jc w:val="center"/>
            </w:pPr>
            <w:r>
              <w:t xml:space="preserve">In Feet</w:t>
            </w:r>
          </w:p>
        </w:tc>
        <w:tc>
          <w:tcPr/>
          <w:p>
            <w:pPr>
              <w:pStyle w:val="kar_table_cell"/>
              <w:jc w:val="center"/>
            </w:pPr>
            <w:r>
              <w:t xml:space="preserve">8 Milliseconds or Greater</w:t>
            </w:r>
          </w:p>
        </w:tc>
      </w:tr>
      <w:tr>
        <w:tc>
          <w:tcPr/>
          <w:p>
            <w:pPr>
              <w:pStyle w:val="kar_table_cell"/>
              <w:jc w:val="center"/>
            </w:pPr>
            <w:r>
              <w:t xml:space="preserve">5-10</w:t>
            </w:r>
          </w:p>
        </w:tc>
        <w:tc>
          <w:tcPr/>
          <w:p>
            <w:pPr>
              <w:pStyle w:val="kar_table_cell"/>
              <w:jc w:val="center"/>
            </w:pPr>
            <w:r>
              <w:t xml:space="preserve">1/8 lb.</w:t>
            </w:r>
          </w:p>
        </w:tc>
      </w:tr>
      <w:tr>
        <w:tc>
          <w:tcPr/>
          <w:p>
            <w:pPr>
              <w:pStyle w:val="kar_table_cell"/>
              <w:jc w:val="center"/>
            </w:pPr>
            <w:r>
              <w:t xml:space="preserve">11-15</w:t>
            </w:r>
          </w:p>
        </w:tc>
        <w:tc>
          <w:tcPr/>
          <w:p>
            <w:pPr>
              <w:pStyle w:val="kar_table_cell"/>
              <w:jc w:val="center"/>
            </w:pPr>
            <w:r>
              <w:t xml:space="preserve">1/4 lb.</w:t>
            </w:r>
          </w:p>
        </w:tc>
      </w:tr>
      <w:tr>
        <w:tc>
          <w:tcPr/>
          <w:p>
            <w:pPr>
              <w:pStyle w:val="kar_table_cell"/>
              <w:jc w:val="center"/>
            </w:pPr>
            <w:r>
              <w:t xml:space="preserve">16-20</w:t>
            </w:r>
          </w:p>
        </w:tc>
        <w:tc>
          <w:tcPr/>
          <w:p>
            <w:pPr>
              <w:pStyle w:val="kar_table_cell"/>
              <w:jc w:val="center"/>
            </w:pPr>
            <w:r>
              <w:t xml:space="preserve">1/2 lb.</w:t>
            </w:r>
          </w:p>
        </w:tc>
      </w:tr>
      <w:tr>
        <w:tc>
          <w:tcPr/>
          <w:p>
            <w:pPr>
              <w:pStyle w:val="kar_table_cell"/>
              <w:jc w:val="center"/>
            </w:pPr>
            <w:r>
              <w:t xml:space="preserve">21-25</w:t>
            </w:r>
          </w:p>
        </w:tc>
        <w:tc>
          <w:tcPr/>
          <w:p>
            <w:pPr>
              <w:pStyle w:val="kar_table_cell"/>
              <w:jc w:val="center"/>
            </w:pPr>
            <w:r>
              <w:t xml:space="preserve">3/4 lb.</w:t>
            </w:r>
          </w:p>
        </w:tc>
      </w:tr>
      <w:tr>
        <w:tc>
          <w:tcPr/>
          <w:p>
            <w:pPr>
              <w:pStyle w:val="kar_table_cell"/>
              <w:jc w:val="center"/>
            </w:pPr>
            <w:r>
              <w:t xml:space="preserve">26-30</w:t>
            </w:r>
          </w:p>
        </w:tc>
        <w:tc>
          <w:tcPr/>
          <w:p>
            <w:pPr>
              <w:pStyle w:val="kar_table_cell"/>
              <w:jc w:val="center"/>
            </w:pPr>
            <w:r>
              <w:t xml:space="preserve">1.0 lb.</w:t>
            </w:r>
          </w:p>
        </w:tc>
      </w:tr>
      <w:tr>
        <w:tc>
          <w:tcPr/>
          <w:p>
            <w:pPr>
              <w:pStyle w:val="kar_table_cell"/>
              <w:jc w:val="center"/>
            </w:pPr>
            <w:r>
              <w:t xml:space="preserve">31-300</w:t>
            </w:r>
          </w:p>
        </w:tc>
        <w:tc>
          <w:tcPr/>
          <w:p>
            <w:pPr>
              <w:pStyle w:val="kar_table_cell"/>
              <w:jc w:val="center"/>
            </w:pPr>
            <w:r>
              <w:t xml:space="preserve">1 lb. plus 1/8 lb. for each foot</w:t>
            </w:r>
            <w:r>
              <w:t xml:space="preserve">of distance above 30 feet</w:t>
            </w:r>
          </w:p>
        </w:tc>
      </w:tr>
    </w:tbl>
    <w:p>
      <w:pPr>
        <w:pStyle w:val="kar_caption"/>
      </w:pPr>
      <w:r>
        <w:t xml:space="preserve">Less than five (5) feet the total charge should not exceed one-eighth (1/8) pound.</w:t>
      </w:r>
    </w:p>
    <w:p>
      <w:pPr>
        <w:pStyle w:val="kar_subsection"/>
      </w:pPr>
      <w:r>
        <w:t xml:space="preserve">(9)</w:t>
      </w:r>
      <w:r>
        <w:t xml:space="preserve"> </w:t>
      </w:r>
      <w:r>
        <w:t xml:space="preserve">If explosive charges of greater than 40,000 pounds are necessary, a permit must be obtained from the Department for Natural Resources. The department shall consider each case on its own merits in making a determination as to whether or not to grant such a permit.</w:t>
      </w:r>
    </w:p>
    <w:p>
      <w:pPr>
        <w:pStyle w:val="kar_history"/>
        <w:sectPr>
          <w:pgSz w:w="12240" w:h="15840" w:orient="portrait" w:code="1"/>
          <w:pgMar w:top="1080" w:right="1080" w:bottom="1080" w:left="1080" w:header="720" w:footer="720" w:gutter="0"/>
          <w:paperSrc w:first="263" w:other="263"/>
          <w:noEndnote/>
          <w:docGrid w:linePitch="218"/>
        </w:sectPr>
      </w:pPr>
      <w:r>
        <w:t xml:space="preserve">(805 KAR 004:020. E&amp;B-M&amp;M-2; 1 Ky.R. 1072; eff. 7-2-1975; TAm eff. 8-9-2007; TAm 6-26-2014; Crt eff. 6-27-2018; Crt eff. 6-2-2025.)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94efd53dfe4e75" /><Relationship Type="http://schemas.openxmlformats.org/officeDocument/2006/relationships/settings" Target="/word/settings.xml" Id="Rd0d885bc949940fd" /></Relationships>
</file>