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85cfb492354577" /></Relationships>
</file>

<file path=word/document.xml><?xml version="1.0" encoding="utf-8"?>
<w:document xmlns:w="http://schemas.openxmlformats.org/wordprocessingml/2006/main">
  <w:body>
    <w:p>
      <w:pPr>
        <w:pStyle w:val="kar_citation"/>
      </w:pPr>
      <w:r>
        <w:t>805 KAR 4:150.</w:t>
      </w:r>
      <w:r>
        <w:t xml:space="preserve"> </w:t>
      </w:r>
      <w:r>
        <w:t xml:space="preserve">Variances.</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Variances.</w:t>
      </w:r>
    </w:p>
    <w:p>
      <w:pPr>
        <w:pStyle w:val="kar_subsection"/>
      </w:pPr>
      <w:r>
        <w:t xml:space="preserve">(1)</w:t>
      </w:r>
      <w:r>
        <w:t xml:space="preserve"> </w:t>
      </w:r>
      <w:r>
        <w:t xml:space="preserve">The commissioner may grant variances from 805 KAR 4:070 to 805 KAR 4:150 if it can be demonstrated said variance improves safety conditions; or that said variance will provide such safe conditions as those which would prevail if there was compliance with the standard.</w:t>
      </w:r>
    </w:p>
    <w:p>
      <w:pPr>
        <w:pStyle w:val="kar_subsection"/>
      </w:pPr>
      <w:r>
        <w:t xml:space="preserve">(2)</w:t>
      </w:r>
      <w:r>
        <w:t xml:space="preserve"> </w:t>
      </w:r>
      <w:r>
        <w:t xml:space="preserve">Such a variance may be modified or revoked by the commissioner.</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004:150. 2 Ky.R. 618; 3 Ky.R. 364; eff. 9-1-1976;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f13b796d6e4226" /><Relationship Type="http://schemas.openxmlformats.org/officeDocument/2006/relationships/settings" Target="/word/settings.xml" Id="R7aa0e9ce5e344d64" /></Relationships>
</file>