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6ff5f46244d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7:090.</w:t>
      </w:r>
      <w:r>
        <w:t xml:space="preserve"> </w:t>
      </w:r>
      <w:r>
        <w:t xml:space="preserve">Hazard training.</w:t>
      </w:r>
    </w:p>
    <w:p>
      <w:pPr>
        <w:pStyle w:val="kar_markup_metadata"/>
      </w:pPr>
      <w:r>
        <w:t xml:space="preserve">RELATES TO: </w:t>
      </w:r>
      <w:r>
        <w:t xml:space="preserve">KRS 351.106, 352.350</w:t>
      </w:r>
    </w:p>
    <w:p>
      <w:pPr>
        <w:pStyle w:val="kar_markup_metadata"/>
      </w:pPr>
      <w:r>
        <w:t xml:space="preserve">STATUTORY AUTHORITY: </w:t>
      </w:r>
      <w:r>
        <w:t xml:space="preserve">KRS 351.070, 351.105</w:t>
      </w:r>
    </w:p>
    <w:p>
      <w:pPr>
        <w:pStyle w:val="kar_markup_metadata"/>
      </w:pPr>
      <w:r>
        <w:t xml:space="preserve">NECESSITY, FUNCTION, AND CONFORMITY: </w:t>
      </w:r>
      <w:r>
        <w:t xml:space="preserve">KRS 351.106 requires the Department of Mines and Minerals to establish safety programs for miners and mine sites. This administrative regulation establishes a training program for visitors of a mine site.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Surface Hazard Training.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Surface hazard training shall be provided by the licensee to visitors exposed to mine surface hazards.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Hazard training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Hazard recognition and avoidance;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Emergency procedures;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Mining and mine safety related issues.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Underground Hazard Training.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Underground hazard training shall be provided by the licensee or his authorized representative at the mine for visitors exposed to mine hazards in underground mines.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Persons required to take hazard training shall be accompanied at all times while underground by an experienced miner employed at the mine.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Hazard training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Hazard recognition and avoidance;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Emergency and evacuation procedure;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Use of a self-rescuer and a respiratory device;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Mining and mine safety related issues.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Documentation.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training required for a visitor of a surface or underground mine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Documented;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Valid for twelve (12) months.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documentation shall enable the visitor to revisit the mine where he received training.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291; 757; eff. 10-13-1999; Crt eff. 6-27-2018; Crt eff. 5-13-2025.)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a160b1826f414a" /><Relationship Type="http://schemas.openxmlformats.org/officeDocument/2006/relationships/settings" Target="/word/settings.xml" Id="R555bba0d361f43d4" /></Relationships>
</file>