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9a78cf037a4e5f" /></Relationships>
</file>

<file path=word/document.xml><?xml version="1.0" encoding="utf-8"?>
<w:document xmlns:w="http://schemas.openxmlformats.org/wordprocessingml/2006/main">
  <w:body>
    <w:p>
      <w:pPr>
        <w:pStyle w:val="kar_citation"/>
      </w:pPr>
      <w:r>
        <w:t>806 KAR 2:097.</w:t>
      </w:r>
      <w:r>
        <w:t xml:space="preserve"> </w:t>
      </w:r>
      <w:r>
        <w:t xml:space="preserve">Filing of local government premium tax ordinances; notification to insurers.</w:t>
      </w:r>
    </w:p>
    <w:p>
      <w:pPr>
        <w:pStyle w:val="kar_markup_metadata"/>
      </w:pPr>
      <w:r>
        <w:t xml:space="preserve">RELATES TO: </w:t>
      </w:r>
      <w:r>
        <w:t xml:space="preserve">KRS 91A.080, 304.4-010</w:t>
      </w:r>
    </w:p>
    <w:p>
      <w:pPr>
        <w:pStyle w:val="kar_markup_metadata"/>
      </w:pPr>
      <w:r>
        <w:t xml:space="preserve">STATUTORY AUTHORITY: </w:t>
      </w:r>
      <w:r>
        <w:t xml:space="preserve">KRS 91A.080, 304.2-110</w:t>
      </w:r>
    </w:p>
    <w:p>
      <w:pPr>
        <w:pStyle w:val="kar_markup_metadata"/>
      </w:pPr>
      <w:r>
        <w:t xml:space="preserve">NECESSITY, FUNCTION, AND CONFORMITY: </w:t>
      </w:r>
      <w:r>
        <w:t xml:space="preserve">KRS 304.2-110 provides that the commissioner may make reasonable administrative regulations necessary for or as an aid to the effectuation of any provision of the Kentucky Insurance Code. KRS 91A.080 authorizes the commissioner to adopt administrative regulations for the collection and reporting of local government premium taxes. This administrative regulation establishes procedures for notifying insurers of the contents of these local government premium tax ordinances.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Insurance.</w:t>
      </w:r>
    </w:p>
    <w:p>
      <w:pPr>
        <w:pStyle w:val="kar_subsection"/>
      </w:pPr>
      <w:r>
        <w:t xml:space="preserve">(2)</w:t>
      </w:r>
      <w:r>
        <w:t xml:space="preserve"> </w:t>
      </w:r>
      <w:r>
        <w:t xml:space="preserve">"Local government premium taxes" means taxes levied pursuant to KRS 91A.080.</w:t>
      </w:r>
    </w:p>
    <w:p>
      <w:pPr>
        <w:pStyle w:val="kar_section"/>
      </w:pPr>
      <w:r>
        <w:t xml:space="preserve">Section 2.</w:t>
      </w:r>
      <w:r>
        <w:t xml:space="preserve"> </w:t>
      </w:r>
      <w:r>
        <w:t xml:space="preserve">Filing of Local Government Premium Tax Ordinances. Adopted or amended ordinances shall be submitted by the city, county, or urban county government to the commissioner in accordance with KRS 91A.080. If an adopted or amended ordinance under KRS 91A.080 is received less than 100 days prior to July 1st, the commissioner shall not notify insurers of the adopted or amended ordinance until the next notice of local government premium taxes is published.</w:t>
      </w:r>
    </w:p>
    <w:p>
      <w:pPr>
        <w:pStyle w:val="kar_section"/>
      </w:pPr>
      <w:r>
        <w:t xml:space="preserve">Section 3.</w:t>
      </w:r>
      <w:r>
        <w:t xml:space="preserve"> </w:t>
      </w:r>
      <w:r>
        <w:t xml:space="preserve">Notification to Insurers of Local Government Premium Taxes.</w:t>
      </w:r>
    </w:p>
    <w:p>
      <w:pPr>
        <w:pStyle w:val="kar_subsection"/>
      </w:pPr>
      <w:r>
        <w:t xml:space="preserve">(1)</w:t>
      </w:r>
      <w:r>
        <w:t xml:space="preserve"> </w:t>
      </w:r>
      <w:r>
        <w:t xml:space="preserve">No less than eighty-five (85) days prior to July 1 of each year, the commissioner shall notify insurers of those cities, counties, or urban-county governments that impose or amended a local government premium tax.</w:t>
      </w:r>
    </w:p>
    <w:p>
      <w:pPr>
        <w:pStyle w:val="kar_subsection"/>
      </w:pPr>
      <w:r>
        <w:t xml:space="preserve">(2)</w:t>
      </w:r>
      <w:r>
        <w:t xml:space="preserve"> </w:t>
      </w:r>
      <w:r>
        <w:t xml:space="preserve">The notice shall be mailed or submitted electronically to the current address of the administrative offices of an insurer as on file with the commissioner.</w:t>
      </w:r>
    </w:p>
    <w:p>
      <w:pPr>
        <w:pStyle w:val="kar_subsection"/>
      </w:pPr>
      <w:r>
        <w:t xml:space="preserve">(3)</w:t>
      </w:r>
      <w:r>
        <w:t xml:space="preserve"> </w:t>
      </w:r>
      <w:r>
        <w:t xml:space="preserve">One (1) copy of the notice of local government premium taxes shall be provided to insurers free of charge. Additional copies of the notice of local government premium taxes or copies of the notice of local government premium taxes requested by others shall be available only on written request and payment of five (5) dollars fee for filing the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 (11 Ky.R. 676; Am. 982; eff. 12-11-1984; 20 Ky.R. 1699; eff. 2-10-1994; TAm eff. 8-9-2007; 43 Ky.R. 1278; eff. 5-5-2017;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9ca0f7cfe240f4" /><Relationship Type="http://schemas.openxmlformats.org/officeDocument/2006/relationships/settings" Target="/word/settings.xml" Id="Ra22d276f037e4224" /></Relationships>
</file>