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9ef916bba4e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15:090.</w:t>
      </w:r>
      <w:r>
        <w:t xml:space="preserve"> </w:t>
      </w:r>
      <w:r>
        <w:t xml:space="preserve">Notice of rights as an owner of a life insurance policy.</w:t>
      </w:r>
    </w:p>
    <w:p>
      <w:pPr>
        <w:pStyle w:val="kar_markup_metadata"/>
      </w:pPr>
      <w:r>
        <w:t xml:space="preserve">RELATES TO: </w:t>
      </w:r>
      <w:r>
        <w:t xml:space="preserve">KRS 304.14-120, 304.15-075</w:t>
      </w:r>
    </w:p>
    <w:p>
      <w:pPr>
        <w:pStyle w:val="kar_markup_metadata"/>
      </w:pPr>
      <w:r>
        <w:t xml:space="preserve">STATUTORY AUTHORITY: </w:t>
      </w:r>
      <w:r>
        <w:t xml:space="preserve">KRS 304.2-110, 304.15-075(1), (3), (4)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authorizes the Commissioner of Insurance to promulgate administrative regulations necessary for or as an aid to the effectuation of any provisions of the Kentucky Insurance Code. KRS 304.15-075(1) requires the commissioner to develop a notice to inform the owner of a life insurance policy issued in this state of his or her rights as an owner of a life insurance policy. KRS 304.15-075(4) authorizes the commissioner to promulgate administrative regulations that establish that notice shall only be required with respect to policies with a net death benefit that is $100,000 or greater. This administrative regulation establishes the notice that shall be provided to owners of life insurance policies at times specified in KRS 304.15-075(3) and exempts insurers from providing notice to owners whose life insurance policy has a net death benefit that is less than $100,000.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When required by KRS 304.15-075(3), an insurer shall provide the owner of an individual life insurance policy with a net death benefit of $100,000 or greater with either of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Important Information About Your Life Insurance Policy, Notice 126;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notice developed by the insurer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Meets the requirements of KRS 304.15-075(2);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Has been approved by the commissioner.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"Important Information About Your Life Insurance Policy", Notice 126, 2/2021,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Insurance, The Mayo-Underwood Building, 500 Mero St., Frankfort, Kentucky 40601, Monday through Friday, 8 a.m. to 4:30 p.m. Forms may also be obtained on the department Web site at https://insurance.ky.gov/ppc/CHAPTER.aspx.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(806 KAR 015:090. 37 Ky.R. 881; eff. 1-3-2010; 46 Ky.R. 1635, 2279; eff. 5-5-2020; 47 Ky.R. 2725; 48 Ky.R. 830; eff. 11-30-2021.)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c93f6f68c4570" /><Relationship Type="http://schemas.openxmlformats.org/officeDocument/2006/relationships/settings" Target="/word/settings.xml" Id="R38a9b878b232453c" /></Relationships>
</file>