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dabb1e61043b3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806 KAR 15:090.</w:t>
      </w:r>
      <w:r>
        <w:t xml:space="preserve"> </w:t>
      </w:r>
      <w:r>
        <w:t xml:space="preserve">Notice of rights as an owner of a life insurance policy.</w:t>
      </w:r>
    </w:p>
    <w:p>
      <w:pPr>
        <w:pStyle w:val="kar_markup_metadata"/>
      </w:pPr>
      <w:r>
        <w:t xml:space="preserve">RELATES TO: </w:t>
      </w:r>
      <w:r>
        <w:t xml:space="preserve">KRS 304.14-120, 304.15-075</w:t>
      </w:r>
    </w:p>
    <w:p>
      <w:pPr>
        <w:pStyle w:val="kar_markup_metadata"/>
      </w:pPr>
      <w:r>
        <w:t xml:space="preserve">STATUTORY AUTHORITY: </w:t>
      </w:r>
      <w:r>
        <w:t xml:space="preserve">KRS 304.2-110, 304.15-075(1), (3), (4)</w:t>
      </w:r>
    </w:p>
    <w:p>
      <w:pPr>
        <w:pStyle w:val="kar_markup_metadata"/>
      </w:pPr>
      <w:r>
        <w:t xml:space="preserve">NECESSITY, FUNCTION, AND CONFORMITY: </w:t>
      </w:r>
      <w:r>
        <w:t xml:space="preserve">KRS 304.2-110(1) authorizes the Commissioner of Insurance to promulgate administrative regulations necessary for or as an aid to the effectuation of any provisions of the Kentucky Insurance Code. KRS 304.15-075(1) requires the commissioner to develop a notice to inform the owner of a life insurance policy issued in this state of his or her rights as an owner of a life insurance policy. KRS 304.15-075(4) authorizes the commissioner to promulgate administrative regulations that establish that notice shall only be required with respect to policies with a net death benefit that is $100,000 or greater. This administrative regulation establishes the notice that shall be provided to owners of life insurance policies at times specified in KRS 304.15-075(3) and exempts insurers from providing notice to owners whose life insurance policy has a net death benefit that is less than $100,000.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When required by KRS 304.15-075(3), an insurer shall provide the owner of an individual life insurance policy with a net death benefit of $100,000 or greater with either of the following:</w:t>
      </w:r>
    </w:p>
    <w:p>
      <w:pPr>
        <w:pStyle w:val="kar_subsection"/>
      </w:pPr>
      <w:r>
        <w:t xml:space="preserve">(1)</w:t>
      </w:r>
      <w:r>
        <w:t xml:space="preserve"> </w:t>
      </w:r>
      <w:r>
        <w:t xml:space="preserve">Important Information About Your Life Insurance Policy, Notice 126; or</w:t>
      </w:r>
    </w:p>
    <w:p>
      <w:pPr>
        <w:pStyle w:val="kar_subsection"/>
      </w:pPr>
      <w:r>
        <w:t xml:space="preserve">(2)</w:t>
      </w:r>
      <w:r>
        <w:t xml:space="preserve"> </w:t>
      </w:r>
      <w:r>
        <w:t xml:space="preserve">A notice developed by the insurer that:</w:t>
      </w:r>
    </w:p>
    <w:p>
      <w:pPr>
        <w:pStyle w:val="kar_paragraph"/>
      </w:pPr>
      <w:r>
        <w:t xml:space="preserve">(a)</w:t>
      </w:r>
      <w:r>
        <w:t xml:space="preserve"> </w:t>
      </w:r>
      <w:r>
        <w:t xml:space="preserve">Meets the requirements of KRS 304.15-075(2); and</w:t>
      </w:r>
    </w:p>
    <w:p>
      <w:pPr>
        <w:pStyle w:val="kar_paragraph"/>
      </w:pPr>
      <w:r>
        <w:t xml:space="preserve">(b)</w:t>
      </w:r>
      <w:r>
        <w:t xml:space="preserve"> </w:t>
      </w:r>
      <w:r>
        <w:t xml:space="preserve">Has been approved by the commissioner.</w:t>
      </w:r>
    </w:p>
    <w:p>
      <w:pPr>
        <w:pStyle w:val="kar_section"/>
      </w:pPr>
      <w:r>
        <w:t xml:space="preserve">Section 2.</w:t>
      </w:r>
      <w:r>
        <w:t xml:space="preserve"> </w:t>
      </w:r>
      <w:r>
        <w:t xml:space="preserve">Incorporation by Reference.</w:t>
      </w:r>
    </w:p>
    <w:p>
      <w:pPr>
        <w:pStyle w:val="kar_subsection"/>
      </w:pPr>
      <w:r>
        <w:t xml:space="preserve">(1)</w:t>
      </w:r>
      <w:r>
        <w:t xml:space="preserve"> </w:t>
      </w:r>
      <w:r>
        <w:t xml:space="preserve">"Important Information About Your Life Insurance Policy", Notice 126, 2/2021, is incorporated by reference.</w:t>
      </w:r>
    </w:p>
    <w:p>
      <w:pPr>
        <w:pStyle w:val="kar_subsection"/>
      </w:pPr>
      <w:r>
        <w:t xml:space="preserve">(2)</w:t>
      </w:r>
      <w:r>
        <w:t xml:space="preserve"> </w:t>
      </w:r>
      <w:r>
        <w:t xml:space="preserve">This material may be inspected, copied, or obtained, subject to applicable copyright law, at the Kentucky Department of Insurance, The Mayo-Underwood Building, 500 Mero St., Frankfort, Kentucky 40601, Monday through Friday, 8 a.m. to 4:30 p.m. Forms may also be obtained on the department Web site at https://insurance.ky.gov/ppc/CHAPTER.aspx.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377a84f1cef49bb" /><Relationship Type="http://schemas.openxmlformats.org/officeDocument/2006/relationships/settings" Target="/word/settings.xml" Id="R33f7b776c3b54679" /></Relationships>
</file>