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7f1bd6c4741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17:250.</w:t>
      </w:r>
      <w:r>
        <w:t xml:space="preserve"> </w:t>
      </w:r>
      <w:r>
        <w:t xml:space="preserve">Notification requirements for drug benefits.</w:t>
      </w:r>
    </w:p>
    <w:p>
      <w:pPr>
        <w:pStyle w:val="kar_markup_metadata"/>
      </w:pPr>
      <w:r>
        <w:t xml:space="preserve">RELATES TO: </w:t>
      </w:r>
      <w:r>
        <w:t xml:space="preserve">KRS 304.17A-505, 304.17A-535</w:t>
      </w:r>
    </w:p>
    <w:p>
      <w:pPr>
        <w:pStyle w:val="kar_markup_metadata"/>
      </w:pPr>
      <w:r>
        <w:t xml:space="preserve">STATUTORY AUTHORITY: </w:t>
      </w:r>
      <w:r>
        <w:t xml:space="preserve">KRS 304.2-110(1), 304.17A-565</w:t>
      </w:r>
    </w:p>
    <w:p>
      <w:pPr>
        <w:pStyle w:val="kar_markup_metadata"/>
      </w:pPr>
      <w:r>
        <w:t xml:space="preserve">NECESSITY, FUNCTION, AND CONFORMITY: </w:t>
      </w:r>
      <w:r>
        <w:t xml:space="preserve">KRS 304.2-110(1) authorizes the commissioner to promulgate administrative regulations necessary for or as an aid to the effectuation of any provision of the Kentucky Insurance Code, as defined in KRS 304.1-010. KRS 304.17A-565 requires the commissioner to enforce and carry out the provisions of KRS 304.17A-500 to 304.17A-570 by promulgating necessary administrative regulations. This administrative regulation establishes notification requirements of a managed care plan if a prescription medication is removed from its drug formulary, a supply amount of a prescription is changed, or prior authorization is added for a prescription medication.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"Drug formulary" means a list of prescription medications preferred for use by a managed care plan and dispensed through a participating pharmacy to an enrollee.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"Enrollee" is defined in KRS 304.17A-500(5).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"Maintenance prescription medication" means a prescription drug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For which a managed care plan receives no less than: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Three (3) claims for a thirty (30) day supply within a four (4) month period of time;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One (1) claim for a ninety (90) day supply within a six (6) month period of time, including a mail order prescription;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That is required for maintenance therapy as determined by the prescribing provider.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"Managed care plan" is defined in KRS 304.17A-500(9).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Notification Requirements.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managed care plan shall provide advance written notice to an enrollee of the following changes: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removal of a maintenance prescription medication from its drug formulary;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change that restricts or reduces the quantity or dosage of a prescription medication supplied when a prescription is filled;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requirement for prior authorization of a prescription medication is added.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written notification pursuant to subsection (1) of this section shall be mailed to an enrollee: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At least thirty (30) but no more than sixty (60) days prior to the effective date of a change as listed in subsection (1)(a), (b), or (c) of this section for an enrollee who is dispensed a prescription for the drug within six (6) months prior to the notification date;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Within thirty (30) days following the effective date of a change as listed in subsection (1)(a), (b), and (c) of this section for an enrollee who is dispensed a prescription for the drug after the notification date required by paragraph (a) of this subsection of this section.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written notification pursuant to subsection (1) of this section shall include: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clear explanation of the action being taken by the managed care plan;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name and phone number of a contact person to answer questions;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description of the exceptions policy to the drug formulary pursuant to KRS 304.17A-535(4).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(27 Ky.R. 2007; Am. 2539; 2781; eff. 4-9-2001; 34 Ky.R. 651; 985; eff. 12-7-2007; Crt eff. 2-26-2020; TAm eff. 3-10-2020.)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3ec0637628462f" /><Relationship Type="http://schemas.openxmlformats.org/officeDocument/2006/relationships/settings" Target="/word/settings.xml" Id="R4dc941dd03e94582" /></Relationships>
</file>