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88a8ab80bc47e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17:480.</w:t>
      </w:r>
      <w:r>
        <w:t xml:space="preserve"> </w:t>
      </w:r>
      <w:r>
        <w:t xml:space="preserve">Uniform evaluation and reevaluation of providers.</w:t>
      </w:r>
    </w:p>
    <w:p>
      <w:pPr>
        <w:pStyle w:val="kar_markup_metadata"/>
      </w:pPr>
      <w:r>
        <w:t xml:space="preserve">RELATES TO: </w:t>
      </w:r>
      <w:r>
        <w:t xml:space="preserve">KRS 205.560(12), 216B.155(2), 304.17A-005, 304.17A-500, 304.17A-545, 304.17A-575, 304.17A-576</w:t>
      </w:r>
    </w:p>
    <w:p>
      <w:pPr>
        <w:pStyle w:val="kar_markup_metadata"/>
      </w:pPr>
      <w:r>
        <w:t xml:space="preserve">STATUTORY AUTHORITY: </w:t>
      </w:r>
      <w:r>
        <w:t xml:space="preserve">KRS 304.2-110(1), 304.17A-545(5)</w:t>
      </w:r>
    </w:p>
    <w:p>
      <w:pPr>
        <w:pStyle w:val="kar_markup_metadata"/>
      </w:pPr>
      <w:r>
        <w:t xml:space="preserve">NECESSITY, FUNCTION, AND CONFORMITY: </w:t>
      </w:r>
      <w:r>
        <w:t xml:space="preserve">KRS 304.2-110(1) authorizes the commissioner to promulgate reasonable administrative regulations necessary for, or as an aid to, the effectuation of any provision of the Kentucky Insurance Code. KRS 304.17A-545(5) requires the commissioner to promulgate administrative regulations to establish a uniform application form and guidelines for the evaluation and reevaluation of health care providers, including psychologists, who will be on a managed care plan's list of participating providers. This administrative regulation establishes the uniform application form and guidelines for evaluation and reevaluation of a health care provider, including a psychologist.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"Applicant" is defined by KRS 304.17A-575(1).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"Evaluation" or "credentialing" means: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process for collecting and verifying professional qualifications of a health care provider;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An assessment of a health care provider's professional competence and conduct;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 process to be completed before a health care provider may participate in a provider network of an insurer on an initial or ongoing basis.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"Form KAPER-1" means the uniform application for credentialing or recredentialing of a health care provider pursuant to KRS 304.17A-545(5).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"Health care provider" or "provider" means a: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Health care provider pursuant to KRS 304.17A-005(23);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Psychologist licensed under KRS Chapter 319.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"Participating health care provider" means a participating health care provider pursuant to KRS 304.17A-500(10), including a psychologist licensed under KRS Chapter 319.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"Reevaluation" or "recredentialing" means: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process for collecting and reverifying professional qualifications of a participating health care provider;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An assessment of a participating health care provider's professional competence and conduct.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Guidelines for an Insurer.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Except as established in subsection (3)(b) of this section, an insurer that offers a managed care plan and performs credentialing or recredentialing activities shall use Form KAPER-1, Part A to credential or recredential a health care provider who desires participation in its provider network.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Pursuant to subsection (1) of this section, an insurer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Have a mechanism for making available and accepting from a health care provider a handwritten or electronically submitted Form KAPER-1, Part A for: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Initial credentialing; and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Recredentialing;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Within thirty (30) days of receipt of a Form KAPER-1, Part A, electronically or in writing: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Notify the health care provider of receipt of the Form KAPER-1 and, if applicable, of any omitted or questionable information included on the form;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Offer assistance to the provider, if requested; and</w:t>
      </w:r>
    </w:p>
    <w:p>
      <w:pPr>
        <w:pStyle w:val="kar_paragraph"/>
      </w:pPr>
      <w:r>
        <w:t xml:space="preserve">(c)</w:t>
      </w:r>
      <w:r>
        <w:t xml:space="preserve"> 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Within sixty (60) days of receipt of a Form KAPER-1, Part A, provide an electronic or written notification regarding the status of credentialing to the health care provider; and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Extend the time period identified in section 2(2)(c)1, due to extenuating circumstances if:</w:t>
      </w:r>
    </w:p>
    <w:p>
      <w:pPr>
        <w:pStyle w:val="kar_clause"/>
      </w:pPr>
      <w:r>
        <w:t xml:space="preserve">a.</w:t>
      </w:r>
      <w:r>
        <w:t xml:space="preserve"> </w:t>
      </w:r>
      <w:r>
        <w:t xml:space="preserve">Additional time is required by the insurer to consider information submitted on the Form KAPER-1, Part A; and</w:t>
      </w:r>
    </w:p>
    <w:p>
      <w:pPr>
        <w:pStyle w:val="kar_clause"/>
      </w:pPr>
      <w:r>
        <w:t xml:space="preserve">b.</w:t>
      </w:r>
      <w:r>
        <w:t xml:space="preserve"> </w:t>
      </w:r>
      <w:r>
        <w:t xml:space="preserve">The health care provider is informed of the need for more time, including information relating to the extenuating circumstance, which caused the delay;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Provide electronic or written notification as established in paragraph (c) of this subsection every thirty (30) days after the initial notification until a final determination regarding credentialing has been issued to the health care provider;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Not require: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Information on the Form KAPER-1, Part A, which is not relevant to the scope of practice, health care setting, or service of the health care provider; and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Routine recredentialing of a health care provider more frequently than three (3) years from the previous credentialing date; and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Upon making a final determination regarding credentialing of an applicant in accordance with KRS 304.17A-576(1), provide notification of the determination to the applicant.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An insurer may use: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Form KAPER-1, Part A to credential or recredential an individual in its provider network other than a health care provider;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provider credentialing application form of the Council for Affordable Quality Healthcare as identified in the introduction of the Form KAPER-1, Part A, in lieu of the Form KAPER-1, Part A.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"Kentucky Application for Provider Evaluation and Reevaluation", Form KAPER-1 (10/2021), is incorporated by reference.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Department of Insurance, 500 Mero St., 2SE11, Frankfort, Kentucky 40601, Monday through Friday, 8 a.m. to 4:30 p.m. This material is also available on the Department of Insurance Web site at: http://insurance.ky.gov.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(32 Ky.R. 1028; 1265; 1399; 3-3-2006; 33 Ky.R. 1726; 3028; 3193; eff. 5-4-2007; 35 Ky.R.1607; 2081; 2742; eff. 7-6-2009; Crt eff. 2-28-2020; 46 Ky.R. 1952, 2408; eff. 6-2-2020; TAm eff. 10-6-2021.)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1c8a4bbcbe41d4" /><Relationship Type="http://schemas.openxmlformats.org/officeDocument/2006/relationships/settings" Target="/word/settings.xml" Id="Rcb981249d7c84a48" /></Relationships>
</file>