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682556ba7a446e" /></Relationships>
</file>

<file path=word/document.xml><?xml version="1.0" encoding="utf-8"?>
<w:document xmlns:w="http://schemas.openxmlformats.org/wordprocessingml/2006/main">
  <w:body>
    <w:p>
      <w:pPr>
        <w:pStyle w:val="kar_citation"/>
      </w:pPr>
      <w:r>
        <w:t>102 KAR 1:300.</w:t>
      </w:r>
      <w:r>
        <w:t xml:space="preserve"> </w:t>
      </w:r>
      <w:r>
        <w:t xml:space="preserve">Kentucky Teachers' Retirement System Trustees Education Program.</w:t>
      </w:r>
    </w:p>
    <w:p>
      <w:pPr>
        <w:pStyle w:val="kar_markup_metadata"/>
      </w:pPr>
      <w:r>
        <w:t xml:space="preserve">RELATES TO: </w:t>
      </w:r>
      <w:r>
        <w:t xml:space="preserve">KRS 161.250(3)(c)</w:t>
      </w:r>
    </w:p>
    <w:p>
      <w:pPr>
        <w:pStyle w:val="kar_markup_metadata"/>
      </w:pPr>
      <w:r>
        <w:t xml:space="preserve">STATUTORY AUTHORITY: </w:t>
      </w:r>
      <w:r>
        <w:t xml:space="preserve">KRS 161.250(3)(c) and KRS 161.310</w:t>
      </w:r>
    </w:p>
    <w:p>
      <w:pPr>
        <w:pStyle w:val="kar_markup_metadata"/>
      </w:pPr>
      <w:r>
        <w:t xml:space="preserve">NECESSITY, FUNCTION, AND CONFORMITY: </w:t>
      </w:r>
      <w:r>
        <w:t xml:space="preserve">KRS 161.310 requires the Board of Trustees of Kentucky Teachers' Retirement Systems to promulgate all administrative regulations necessary or proper for the administration of the funds of the retirement system and for the transaction of business. KRS 161.250(3)(c) provides that the board shall establish a formal trustee education program for all trustees of the board, which shall be incorporated by reference in an administrative regulation. This administrative regulation establishes the "Kentucky Teachers' Retirement System Trustees Education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"Kentucky Teachers' Retirement System Trustees Education Program", adopted November 17, 2008, is incorporated by reference.</w:t>
      </w:r>
    </w:p>
    <w:p>
      <w:pPr>
        <w:pStyle w:val="kar_subsection"/>
      </w:pPr>
      <w:r>
        <w:t xml:space="preserve">(2)</w:t>
      </w:r>
      <w:r>
        <w:t xml:space="preserve"> </w:t>
      </w:r>
      <w:r>
        <w:t xml:space="preserve">This material may be inspected, copied, or obtained, subject to applicable copyright law, at the Kentucky Teachers' Retirement System, 479 Versailles Road,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001:300. 35 Ky.R. 1946; eff. 4-3-2009;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22c46c1d874ff0" /><Relationship Type="http://schemas.openxmlformats.org/officeDocument/2006/relationships/settings" Target="/word/settings.xml" Id="R4c12a03e5a1645e5" /></Relationships>
</file>