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7dd553eb04d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2:010.</w:t>
      </w:r>
      <w:r>
        <w:t xml:space="preserve"> </w:t>
      </w:r>
      <w:r>
        <w:t xml:space="preserve">Election of chairperson, vice chairperson.</w:t>
      </w:r>
    </w:p>
    <w:p>
      <w:pPr>
        <w:pStyle w:val="kar_markup_metadata"/>
      </w:pPr>
      <w:r>
        <w:t xml:space="preserve">RELATES TO: </w:t>
      </w:r>
      <w:r>
        <w:t xml:space="preserve">KRS 161.340</w:t>
      </w:r>
    </w:p>
    <w:p>
      <w:pPr>
        <w:pStyle w:val="kar_markup_metadata"/>
      </w:pPr>
      <w:r>
        <w:t xml:space="preserve">STATUTORY AUTHORITY: </w:t>
      </w:r>
      <w:r>
        <w:t xml:space="preserve">161.310</w:t>
      </w:r>
    </w:p>
    <w:p>
      <w:pPr>
        <w:pStyle w:val="kar_markup_metadata"/>
      </w:pPr>
      <w:r>
        <w:t xml:space="preserve">NECESSITY, FUNCTION, AND CONFORMITY: </w:t>
      </w:r>
      <w:r>
        <w:t xml:space="preserve">KRS 161.340 provides for the annual election of a chairperson and a vice chairperson for the board of trustees. This administrative regulation sets the time for such election.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At the last meeting of the fiscal year (the fourth quarter meeting) the board of trustees shall elect a chairperson and vice chairperson for the succeeding fiscal year.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(102 KAR 002:010. TRS-11; 1 Ky.R. 464; eff. 3-12-1975; 3 Ky.R. 381; eff. 12-1-1976; Crt eff. 7-3-2019; Crt eff. 12-17-2025.)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fe4c2875464b49" /><Relationship Type="http://schemas.openxmlformats.org/officeDocument/2006/relationships/settings" Target="/word/settings.xml" Id="R49b8edc0d4e04f3e" /></Relationships>
</file>