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850ae6c7548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10:020.</w:t>
      </w:r>
      <w:r>
        <w:t xml:space="preserve"> </w:t>
      </w:r>
      <w:r>
        <w:t xml:space="preserve">Capital, records and reporting requirements of broker-dealers.</w:t>
      </w:r>
    </w:p>
    <w:p>
      <w:pPr>
        <w:pStyle w:val="kar_markup_metadata"/>
      </w:pPr>
      <w:r>
        <w:t xml:space="preserve">RELATES TO: </w:t>
      </w:r>
      <w:r>
        <w:t xml:space="preserve">KRS 292.330, 292.460, 15 U.S.C. 78o(h)</w:t>
      </w:r>
    </w:p>
    <w:p>
      <w:pPr>
        <w:pStyle w:val="kar_markup_metadata"/>
      </w:pPr>
      <w:r>
        <w:t xml:space="preserve">STATUTORY AUTHORITY: </w:t>
      </w:r>
      <w:r>
        <w:t xml:space="preserve">KRS 292.500(3), 15 U.S.C. 78o(h)</w:t>
      </w:r>
    </w:p>
    <w:p>
      <w:pPr>
        <w:pStyle w:val="kar_markup_metadata"/>
      </w:pPr>
      <w:r>
        <w:t xml:space="preserve">NECESSITY, FUNCTION, AND CONFORMITY: </w:t>
      </w:r>
      <w:r>
        <w:t xml:space="preserve">KRS 292.500(3) authorizes the executive director to promulgate administrative regulations necessary to carry out the provisions of KRS Chapter 292. 15 USC 78o(h) prohibits a state from establishing capital, custody, margin, financial responsibility, making and keeping records, bonding, or financial or operational reporting requirements for a broker, dealer, municipal dealer, government security broker, or government security dealer that differs from, or are in addition to, the federal requirements. This administrative regulation establishes the state requirements for a person registered pursuant to the federal requirements established in 15 USC 78o.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broker-dealer, municipal security dealer, government security broker, or government security dealer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Be deemed to have complied with the requirements established in KRS 292.330 relating to capital, custody, margin, financial responsibility, making and keeping records, bonding, or financial or operational reporting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person is: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Registered with the United States Securities and Exchange Commission pursuant to 15 USC 78o;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In compliance with the rules and regulations enacted by the United States Securities and Exchange Commission pursuant thereto;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copy of the information kept or provided to the United States Securities and Exchange Commission is made available or provided to the office as required by the executive director;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Comply with a reasonable request made by the executive director or a designated employee of the office for the assembly and production of information required to conduct an examination pursuant to KRS 292.330 or an investigation pursuant to KRS 292.460.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(SR 330(5)-1, 2, 3, 4, 5, 6, 7; 1 Ky.R. 1092; eff. 6-11-75; Am. 11 Ky.R. 1904; eff. 7-9-85; 24 Ky.R. 2173; 25 Ky.R. 84; eff. 6-25-98;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da1331488b4748" /><Relationship Type="http://schemas.openxmlformats.org/officeDocument/2006/relationships/settings" Target="/word/settings.xml" Id="Rca517230747a4061" /></Relationships>
</file>