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dd7c78bdc846d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10:090.</w:t>
      </w:r>
      <w:r>
        <w:t xml:space="preserve"> </w:t>
      </w:r>
      <w:r>
        <w:t xml:space="preserve">Issuer's reports.</w:t>
      </w:r>
    </w:p>
    <w:p>
      <w:pPr>
        <w:pStyle w:val="kar_markup_metadata"/>
      </w:pPr>
      <w:r>
        <w:t xml:space="preserve">RELATES TO: </w:t>
      </w:r>
      <w:r>
        <w:t xml:space="preserve">KRS 292.360, 15 U.S.C. 78m, 78o(d)</w:t>
      </w:r>
    </w:p>
    <w:p>
      <w:pPr>
        <w:pStyle w:val="kar_markup_metadata"/>
      </w:pPr>
      <w:r>
        <w:t xml:space="preserve">STATUTORY AUTHORITY: </w:t>
      </w:r>
      <w:r>
        <w:t xml:space="preserve">KRS 292.500(3)</w:t>
      </w:r>
    </w:p>
    <w:p>
      <w:pPr>
        <w:pStyle w:val="kar_markup_metadata"/>
      </w:pPr>
      <w:r>
        <w:t xml:space="preserve">NECESSITY, FUNCTION, AND CONFORMITY: </w:t>
      </w:r>
      <w:r>
        <w:t xml:space="preserve">KRS 292.500(3) authorizes the commissioner to promulgate administrative regulations necessary to carry out the provisions of KRS Chapter 292. KRS 292.360 establishes procedures by which a security for which a federal registration statement has been filed in connection with the same offering to register by coordination. This administrative regulation establishes a procedure for an issuer to keep the registration statement current beyond the one (1) year period of registration.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The person who files a registration statement pursuant to KRS 292.360 shall keep the registration statement current by filing the following: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copy of the issuer's annual report on Form 10-K as filed with the Securities and Exchange Commission pursuant to 15 U.S.C. 78m or 78o(d), or a document containing the information required by 15 U.S.C. 78m or 78o(d);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statement of the aggregate amount of securities sold in the state of Kentucky during the preceding twelve (12) month period; and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posteffective amendment to the issuer's federal registration statement not already on file with the office.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(SR 380(7)-3; 1 Ky.R. 1095; eff. 6-11-75; Am. 9 Ky.R. 46; eff. 8-11-82; 11 Ky.R. 1909; eff. 7-9-85; 24 Ky.R. 2178; 25 Ky.R. 87; eff. 6-25-98; TAm eff. 11-7-2012; Crt eff. 2-27-2020.)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34db9de2a1463e" /><Relationship Type="http://schemas.openxmlformats.org/officeDocument/2006/relationships/settings" Target="/word/settings.xml" Id="R31c9949d226046a4" /></Relationships>
</file>