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e1d5d771a44d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10:120.</w:t>
      </w:r>
      <w:r>
        <w:t xml:space="preserve"> </w:t>
      </w:r>
      <w:r>
        <w:t xml:space="preserve">Registration files.</w:t>
      </w:r>
    </w:p>
    <w:p>
      <w:pPr>
        <w:pStyle w:val="kar_markup_metadata"/>
      </w:pPr>
      <w:r>
        <w:t xml:space="preserve">RELATES TO: </w:t>
      </w:r>
      <w:r>
        <w:t xml:space="preserve">KRS Chapter 292</w:t>
      </w:r>
    </w:p>
    <w:p>
      <w:pPr>
        <w:pStyle w:val="kar_markup_metadata"/>
      </w:pPr>
      <w:r>
        <w:t xml:space="preserve">STATUTORY AUTHORITY: </w:t>
      </w:r>
      <w:r>
        <w:t xml:space="preserve">KRS 292.500(3)</w:t>
      </w:r>
    </w:p>
    <w:p>
      <w:pPr>
        <w:pStyle w:val="kar_markup_metadata"/>
      </w:pPr>
      <w:r>
        <w:t xml:space="preserve">NECESSITY, FUNCTION, AND CONFORMITY: </w:t>
      </w:r>
      <w:r>
        <w:t xml:space="preserve">To require that broker-dealer registration files are kept current.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Every registered broker-dealer and investment adviser shall promptly amend its registration file upon the happenings of any of the following events: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Any change in the registrant's certifying accountant and a detailed statement of the reasons therefor.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Any change in the registrant's net capital position which would result in a violation of the minimum net capital requirements.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Any change in the control of the registrant.</w:t>
      </w:r>
    </w:p>
    <w:p>
      <w:pPr>
        <w:pStyle w:val="kar_subsection"/>
      </w:pPr>
      <w:r>
        <w:t xml:space="preserve">(4)</w:t>
      </w:r>
      <w:r>
        <w:t xml:space="preserve"> </w:t>
      </w:r>
      <w:r>
        <w:t xml:space="preserve">The institution of any material legal proceeding to which the registrant is a party.</w:t>
      </w:r>
    </w:p>
    <w:p>
      <w:pPr>
        <w:pStyle w:val="kar_subsection"/>
      </w:pPr>
      <w:r>
        <w:t xml:space="preserve">(5)</w:t>
      </w:r>
      <w:r>
        <w:t xml:space="preserve"> </w:t>
      </w:r>
      <w:r>
        <w:t xml:space="preserve">Any change in the address of the registrant or of any branch offices to the registrant.</w:t>
      </w:r>
    </w:p>
    <w:p>
      <w:pPr>
        <w:pStyle w:val="kar_subsection"/>
      </w:pPr>
      <w:r>
        <w:t xml:space="preserve">(6)</w:t>
      </w:r>
      <w:r>
        <w:t xml:space="preserve"> </w:t>
      </w:r>
      <w:r>
        <w:t xml:space="preserve">Any material change on the operations of the registrant.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(SR 330(11)(c)-1; 1 Ky.R. 1097; eff. 6-11-75; Am. 11 Ky.R. 1909; eff. 7-9-85; Crt eff. 2-27-2020.)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3345d4b64d54e05" /><Relationship Type="http://schemas.openxmlformats.org/officeDocument/2006/relationships/settings" Target="/word/settings.xml" Id="Rb4fde1dc9ed24e2d" /></Relationships>
</file>