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fe11d49961452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10:130.</w:t>
      </w:r>
      <w:r>
        <w:t xml:space="preserve"> </w:t>
      </w:r>
      <w:r>
        <w:t xml:space="preserve">Amendments to registration statement.</w:t>
      </w:r>
    </w:p>
    <w:p>
      <w:pPr>
        <w:pStyle w:val="kar_markup_metadata"/>
      </w:pPr>
      <w:r>
        <w:t xml:space="preserve">RELATES TO: </w:t>
      </w:r>
      <w:r>
        <w:t xml:space="preserve">KRS 292.360, 292.370</w:t>
      </w:r>
    </w:p>
    <w:p>
      <w:pPr>
        <w:pStyle w:val="kar_markup_metadata"/>
      </w:pPr>
      <w:r>
        <w:t xml:space="preserve">STATUTORY AUTHORITY: </w:t>
      </w:r>
      <w:r>
        <w:t xml:space="preserve">KRS 292.500(3)</w:t>
      </w:r>
    </w:p>
    <w:p>
      <w:pPr>
        <w:pStyle w:val="kar_markup_metadata"/>
      </w:pPr>
      <w:r>
        <w:t xml:space="preserve">NECESSITY, FUNCTION, AND CONFORMITY: </w:t>
      </w:r>
      <w:r>
        <w:t xml:space="preserve">KRS 292.500(3) authorizes the commissioner to promulgate administrative regulations necessary to carry out the provisions of KRS Chapter 292. KRS 292.360 and 292.370 establish requirements for filing a registration statement. This administrative regulation establishes requirements for an amendment to a registration statement filed pursuant to KRS 292.360 or 292.370.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An amendment to a registration statement filed pursuant to KRS 292.360 or 292.370 shall be marked in a manner to show each change from the last amendment filed.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(SR 360(2)(g)-1; 1 Ky.R. 1097; eff. 6-11-75; Am. 11 Ky.R. 1910; eff. 7-9-85; 24 Ky.R. 2180; 25 Ky.R. 88; eff. 6-25-98; TAm eff. 11-7-2012; Crt eff. 2-27-2020.)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31b4cc35ce4d09" /><Relationship Type="http://schemas.openxmlformats.org/officeDocument/2006/relationships/settings" Target="/word/settings.xml" Id="R0c3e7b64981f4dc9" /></Relationships>
</file>