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b717b91394e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10:260.</w:t>
      </w:r>
      <w:r>
        <w:t xml:space="preserve"> </w:t>
      </w:r>
      <w:r>
        <w:t xml:space="preserve">Examination requirement for individuals advising the public on securities, broker-dealers, and agents.</w:t>
      </w:r>
    </w:p>
    <w:p>
      <w:pPr>
        <w:pStyle w:val="kar_markup_metadata"/>
      </w:pPr>
      <w:r>
        <w:t xml:space="preserve">RELATES TO: </w:t>
      </w:r>
      <w:r>
        <w:t xml:space="preserve">KRS 292.310, 292.331(3), 292.337, 292.500(3)</w:t>
      </w:r>
    </w:p>
    <w:p>
      <w:pPr>
        <w:pStyle w:val="kar_markup_metadata"/>
      </w:pPr>
      <w:r>
        <w:t xml:space="preserve">STATUTORY AUTHORITY: </w:t>
      </w:r>
      <w:r>
        <w:t xml:space="preserve">KRS 292.331(3), 292.500(3)</w:t>
      </w:r>
    </w:p>
    <w:p>
      <w:pPr>
        <w:pStyle w:val="kar_markup_metadata"/>
      </w:pPr>
      <w:r>
        <w:t xml:space="preserve">NECESSITY, FUNCTION, AND CONFORMITY: </w:t>
      </w:r>
      <w:r>
        <w:t xml:space="preserve">KRS 292.331(3) authorizes the commissioner to require an examination as evidence of knowledge of the securities business as a condition of registration. 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Except as provided in Section 2 of this administrative regulation, an individual, including an investment adviser or an investment adviser representative, who advises the public regarding the value of a security or the advisability of investing in, purchasing, or selling a security shall demonstrate competence in the law of securities by providing the commissioner with proof of obtaining a passing score, as determined by the Financial Industry Regulatory Authority (FINRA), on one (1) of the following examinations: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Uniform Investment Advisor Law Examination (Series 65 examination); or</w:t>
      </w:r>
    </w:p>
    <w:p>
      <w:pPr>
        <w:pStyle w:val="kar_subsection"/>
      </w:pPr>
      <w:r>
        <w:t xml:space="preserve">(2)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General Securities Representative Examination (Series 7 examination);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Uniform Combined State Law Examination (Series 66 examination).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following individuals shall not be required to take and pass the examination: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individual who registered as an investment adviser or investment adviser representative in a state on or before January 1, 2000 and has been continuously registered since that date, except that the commissioner may require the examinations identified in Section 1 of this administrative regulation for an individual found to have violated a state or federal securities law as a condition of continued registration;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individual who currently holds one (1) of the following professional designations and is in compliance with all continuing education and other requirements of good standing for the designation: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Certified Financial Planner (CFP) issued by the Certified Financial Planner Board of Standards, Inc.;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Chartered Financial Consultant (ChFC) issued by The American College, Bryn Mawr, Pennsylvania;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Personal Financial Specialist (PFS) granted by the American Institute of Certified Public Accountants;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Chartered Financial Analyst (CFA) granted by the Association for Investment Management and Research; or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Chartered Investment Counselor (CIC) granted by the Investment Counsel Association of America; or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individual who was registered as a broker-dealer agent prior to January 1, 1988, has been continuously registered since that date and has had no reportable disclosures on Form U-4, as incorporated by reference in 808 KAR 10:010.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An individual not required to take and pass any examination because of holding a designation specified in Section 2(2) of this administrative regulation may be required to take the examination if that individual fails to maintain the designation in good standing.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A registered investment adviser shall not employ an individual as an investment adviser or as one who represents an investment adviser unless that individual has complied with this administrative regulation.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To register in Kentucky as a broker-dealer or agent, an individual or a principal, if the applicant is an entity,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Pass the appropriate examination, which depending on the proposed business, shall be one (1) of the following FINRA examinations: Series 1, 2, 6, 7, 11, 17, 22, 24, 26, 39, 40, 52, 53, 62, or 79;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Pass the North American Securities Administrators Association ("NASAA") Series 63 or Series 66 examination.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An individual who has been unregistered for a period of time in excess of two (2) years shall be required to take and pass the examinations specified in Sections 1 and 5 of this administrative regulation unless the commissioner grants a waiver for good cause shown in response to a written request by the investment adviser, broker-dealer or issuer which the individual will represent.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(18 Ky.R. 244; 702; eff. 9-6-1991; 23 Ky.R. 2286; 2738; eff. 1-9-1997; 24 Ky.R. 2190; 25 Ky.R. 94; eff. 6-25-1998; 26 Ky.R. 901; 1160; eff. 12-16-1999; 29 Ky.R. 2159; 2468; eff. 4-11-2003; 37 Ky.R. 2493; 2842; eff. 7-1-2011;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4e614f9e14300" /><Relationship Type="http://schemas.openxmlformats.org/officeDocument/2006/relationships/settings" Target="/word/settings.xml" Id="R25d83ab41a894a6f" /></Relationships>
</file>