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5725fd9dc4b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10:320.</w:t>
      </w:r>
      <w:r>
        <w:t xml:space="preserve"> </w:t>
      </w:r>
      <w:r>
        <w:t xml:space="preserve">Broker-dealer books and records requirements.</w:t>
      </w:r>
    </w:p>
    <w:p>
      <w:pPr>
        <w:pStyle w:val="kar_markup_metadata"/>
      </w:pPr>
      <w:r>
        <w:t xml:space="preserve">RELATES TO: </w:t>
      </w:r>
      <w:r>
        <w:t xml:space="preserve">KRS 292.336(1)(a), 17 C.F.R. 240.17a-3, 240.17-a-4, 15 U.S.C. 78q</w:t>
      </w:r>
    </w:p>
    <w:p>
      <w:pPr>
        <w:pStyle w:val="kar_markup_metadata"/>
      </w:pPr>
      <w:r>
        <w:t xml:space="preserve">STATUTORY AUTHORITY: </w:t>
      </w:r>
      <w:r>
        <w:t xml:space="preserve">KRS 292.336(1)(a), 292.500(3)</w:t>
      </w:r>
    </w:p>
    <w:p>
      <w:pPr>
        <w:pStyle w:val="kar_markup_metadata"/>
      </w:pPr>
      <w:r>
        <w:t xml:space="preserve">NECESSITY, FUNCTION, AND CONFORMITY: </w:t>
      </w:r>
      <w:r>
        <w:t xml:space="preserve">KRS 292.500(3) authorizes the commissioner to promulgate administrative regulations necessary to carry out the provisions of KRS Chapter 292. KRS 292.336(1)(a) requires a registered broker-dealer to make and keep records required by the commissioner. This administrative regulation establishes the recordkeeping requirements for a broker-dealer.</w:t>
      </w:r>
    </w:p>
    <w:p>
      <w:pPr>
        <w:pStyle w:val="kar_section"/>
      </w:pPr>
      <w:r>
        <w:t xml:space="preserve">Section 1.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Pursuant to KRS 292.336(1)(a), a broker-dealer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Meet the recordkeeping requirements established in 15 U.S.C. 78q;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Maintain his books and records in accordance with the applicable federal regulations, including 17 C.F.R. 240.17a-3 and 17 C.F.R. 240.17a-4.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requirements established in subsection (1) of this section shall apply to a broker-dealer subject to the provisions of KRS Chapter 292.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commissioner may upon application for good cause shown relieve a broker-dealer of compliance with the requirements established in subsection (1) of this section if the action is necessary or appropriate in the public interest; or for the protection of an investor.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(24 Ky.R. 2264; Am. 25 Ky.R. 95; eff. 6-25-98; TAm 11-7-2012.)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c607c0b7d44dab" /><Relationship Type="http://schemas.openxmlformats.org/officeDocument/2006/relationships/settings" Target="/word/settings.xml" Id="Rfa5f2e3dd1e8416f" /></Relationships>
</file>