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1886031164e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12:020.</w:t>
      </w:r>
      <w:r>
        <w:t xml:space="preserve"> </w:t>
      </w:r>
      <w:r>
        <w:t xml:space="preserve">Claims of exemption.</w:t>
      </w:r>
    </w:p>
    <w:p>
      <w:pPr>
        <w:pStyle w:val="kar_markup_metadata"/>
      </w:pPr>
      <w:r>
        <w:t xml:space="preserve">RELATES TO: </w:t>
      </w:r>
      <w:r>
        <w:t xml:space="preserve">KRS 286.8-010, 286.8-020, 286.8-030, 286.8-044, 286.8-048, 286.8-090</w:t>
      </w:r>
    </w:p>
    <w:p>
      <w:pPr>
        <w:pStyle w:val="kar_markup_metadata"/>
      </w:pPr>
      <w:r>
        <w:t xml:space="preserve">STATUTORY AUTHORITY: </w:t>
      </w:r>
      <w:r>
        <w:t xml:space="preserve">KRS 286.8-020(3), 286.8-140(1)</w:t>
      </w:r>
    </w:p>
    <w:p>
      <w:pPr>
        <w:pStyle w:val="kar_markup_metadata"/>
      </w:pPr>
      <w:r>
        <w:t xml:space="preserve">NECESSITY, FUNCTION, AND CONFORMITY: </w:t>
      </w:r>
      <w:r>
        <w:t xml:space="preserve">KRS 286.8-140(1) authorizes the commissioner to promulgate administrative regulations necessary to accomplish the basic purposes of KRS Chapter 286.8. KRS 286.8-020(3) requires a person relying upon an exemption established in KRS 286.8-020(1)(i) or (2)(a)-(2)(b) to file with the commissioner a written application for a claim of exemption. This administrative regulation establishes the procedure for filing a written application pursuant to KRS 286.8-020(3).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person filing a claim of exemption under KRS 286.8-020(3)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Submit a completed application for a claim of exemption as required by subsection (2) of this section;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Enclose with the application documentation that supports the applicant's claim of exemption, as set forth in the applicable application form.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If relying on an exemption as a non-profit organization that has affordable housing as a primary purpose of its operations under KRS 286.8-020(1)(i), the person shall file a notarized Form ML-9, Application for a Mortgage Loan Company or Mortgage Loan Broker Exemption (Non-Profit Exemption).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relying on an exemption as a mortgage loan company or mortgage loan broker approved and regulated by the United States Department of Housing and Urban Development under KRS 286.8-020(2)(a)-(b), the person shall file a notarized Form ML-10, Application for a Mortgage Loan Company or Mortgage Loan Broker Exemption (HUD Exemption).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Within ten (10) days of the change, a person who submits an application under Section 1 of this administrative regulation shall notify the commissioner: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Of a change of address of the applicant; or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That the applicant has ceased to do business in Kentucky.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Form ML-9, "Application for a Mortgage Loan Company or Mortgage Loan Broker Exemption (Non-Profit Exemption)", December, 2019;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Form ML-10, "Application for a Mortgage Loan Company or Mortgage Loan Broker Exemption (HUD Exemption)", December, 2019.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of Financial Institutions, 500 Mero St 2SW19, Frankfort, Kentucky 40601, Monday through Friday, 8 a.m. to 5:00 p.m. This material may also be obtained from the department's Web site at http://www.kfi.ky.gov.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(16 Ky.R. 2811; eff. 10-14-1990; Am. 25 Ky.R. 1185; 1602; eff. 1-19-1999; 41 Ky.R. 2636; 42 Ky.R. 687; eff. 9-22-2015; TAm eff. 12-3-2019; Cert. eff. 9-16-2022.)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cc4fcfb10342ac" /><Relationship Type="http://schemas.openxmlformats.org/officeDocument/2006/relationships/settings" Target="/word/settings.xml" Id="R4f7c4644e0434989" /></Relationships>
</file>