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b71a6e4861441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14:020.</w:t>
      </w:r>
      <w:r>
        <w:t xml:space="preserve"> </w:t>
      </w:r>
      <w:r>
        <w:t xml:space="preserve">Annual reporting.</w:t>
      </w:r>
    </w:p>
    <w:p>
      <w:pPr>
        <w:pStyle w:val="kar_markup_metadata"/>
      </w:pPr>
      <w:r>
        <w:t xml:space="preserve">RELATES TO: </w:t>
      </w:r>
      <w:r>
        <w:t xml:space="preserve">KRS 286.4-590</w:t>
      </w:r>
    </w:p>
    <w:p>
      <w:pPr>
        <w:pStyle w:val="kar_markup_metadata"/>
      </w:pPr>
      <w:r>
        <w:t xml:space="preserve">STATUTORY AUTHORITY: </w:t>
      </w:r>
      <w:r>
        <w:t xml:space="preserve">KRS 286.4-590, 286.4-610(1)</w:t>
      </w:r>
    </w:p>
    <w:p>
      <w:pPr>
        <w:pStyle w:val="kar_markup_metadata"/>
      </w:pPr>
      <w:r>
        <w:t xml:space="preserve">NECESSITY, FUNCTION, AND CONFORMITY: </w:t>
      </w:r>
      <w:r>
        <w:t xml:space="preserve">KRS 286.4-610(1) authorizes the commissioner to promulgate administrative regulations for the proper conduct of the consumer loan businesses licensed under KRS Chapter 286.4. This administrative regulation establishes the forms on which a licensee shall submit annual reports pursuant to KRS 286.4-590.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Consumer Loan Licensees. A person filing an annual report pursuant to KRS 286.4-590 shall complete and submit the following on or before January 30 of each year: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Form CL-2, Annual Report to the Department of Financial Institutions; and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If the person has more than one (1) licensed location and chooses to complete Form CL-2 as a composite report for all locations, a Form CL-3, Supplement to the Annual Report to the Department of Financial Institutions for each licensed location.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following material is incorporated by reference: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"Annual Report to the Department of Financial Institutions", Form CL-2, March 2015;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"Supplement to the Annual Report to the Department of Financial Institutions", Form CL-3, March 2015.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Department of Financial Institutions, 500 Mero St 2SW19, Frankfort, Kentucky 40601, Monday through Friday, 8 a.m. to 4:30 p.m.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(45 Ky.R. 2277; eff. 5-3-2019; TAm eff. 12-3-2019.)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af32f6a01f41bf" /><Relationship Type="http://schemas.openxmlformats.org/officeDocument/2006/relationships/settings" Target="/word/settings.xml" Id="R5dfad0b2f4ad4c0e" /></Relationships>
</file>