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dc600e492b4d6d" /></Relationships>
</file>

<file path=word/document.xml><?xml version="1.0" encoding="utf-8"?>
<w:document xmlns:w="http://schemas.openxmlformats.org/wordprocessingml/2006/main">
  <w:body>
    <w:p>
      <w:pPr>
        <w:pStyle w:val="kar_citation"/>
      </w:pPr>
      <w:r>
        <w:t>815 KAR 7:125.</w:t>
      </w:r>
      <w:r>
        <w:t xml:space="preserve"> </w:t>
      </w:r>
      <w:r>
        <w:t xml:space="preserve">Kentucky Residential Code.</w:t>
      </w:r>
    </w:p>
    <w:p>
      <w:pPr>
        <w:pStyle w:val="kar_markup_metadata"/>
      </w:pPr>
      <w:r>
        <w:t xml:space="preserve">RELATES TO: </w:t>
      </w:r>
      <w:r>
        <w:t xml:space="preserve">KRS 198B.010, 198B.040, 198B.050, 198B.060, 198B.080, 198B.260, 198B.990</w:t>
      </w:r>
    </w:p>
    <w:p>
      <w:pPr>
        <w:pStyle w:val="kar_markup_metadata"/>
      </w:pPr>
      <w:r>
        <w:t xml:space="preserve">STATUTORY AUTHORITY: </w:t>
      </w:r>
      <w:r>
        <w:t xml:space="preserve">KRS 198B.040(7), 198B.050</w:t>
      </w:r>
    </w:p>
    <w:p>
      <w:pPr>
        <w:pStyle w:val="kar_markup_metadata"/>
      </w:pPr>
      <w:r>
        <w:t xml:space="preserve">NECESSITY, FUNCTION, AND CONFORMITY: </w:t>
      </w:r>
      <w:r>
        <w:t xml:space="preserve">KRS 198B.040(7) and 198B.050 require the department to promulgate a mandatory uniform state building code that establishes standards for the construction of all buildings in the state. This administrative regulation establishes the basic mandatory uniform statewide code provisions relating to construction of one (1) and two (2) family dwellings and townhouses.</w:t>
      </w:r>
    </w:p>
    <w:p>
      <w:pPr>
        <w:pStyle w:val="kar_section"/>
      </w:pPr>
      <w:r>
        <w:t xml:space="preserve">Section 1.</w:t>
      </w:r>
      <w:r>
        <w:t xml:space="preserve"> </w:t>
      </w:r>
      <w:r>
        <w:t xml:space="preserve">Definitions.</w:t>
      </w:r>
    </w:p>
    <w:p>
      <w:pPr>
        <w:pStyle w:val="kar_subsection"/>
      </w:pPr>
      <w:r>
        <w:t xml:space="preserve">(1)</w:t>
      </w:r>
      <w:r>
        <w:t xml:space="preserve"> </w:t>
      </w:r>
      <w:r>
        <w:t xml:space="preserve">"Single-family dwelling" or "one (1)-family dwelling" means a single unit that:</w:t>
      </w:r>
    </w:p>
    <w:p>
      <w:pPr>
        <w:pStyle w:val="kar_paragraph"/>
      </w:pPr>
      <w:r>
        <w:t xml:space="preserve">(a)</w:t>
      </w:r>
      <w:r>
        <w:t xml:space="preserve"> </w:t>
      </w:r>
      <w:r>
        <w:t xml:space="preserve">Provides complete independent living facilities for one (1) or more persons, including permanent provisions for living, sleeping, eating, cooking, and sanitation; and</w:t>
      </w:r>
    </w:p>
    <w:p>
      <w:pPr>
        <w:pStyle w:val="kar_paragraph"/>
      </w:pPr>
      <w:r>
        <w:t xml:space="preserve">(b)</w:t>
      </w:r>
      <w:r>
        <w:t xml:space="preserve"> </w:t>
      </w:r>
      <w:r>
        <w:t xml:space="preserve">Is not connected to any other unit or building.</w:t>
      </w:r>
    </w:p>
    <w:p>
      <w:pPr>
        <w:pStyle w:val="kar_subsection"/>
      </w:pPr>
      <w:r>
        <w:t xml:space="preserve">(2)</w:t>
      </w:r>
      <w:r>
        <w:t xml:space="preserve"> </w:t>
      </w:r>
      <w:r>
        <w:t xml:space="preserve">"Townhouse" means a single-family dwelling unit constructed in a group of three (3) or more attached units separated by property lines in which each unit extends from foundation to roof and with open space on at least two (2) sides.</w:t>
      </w:r>
    </w:p>
    <w:p>
      <w:pPr>
        <w:pStyle w:val="kar_subsection"/>
      </w:pPr>
      <w:r>
        <w:t xml:space="preserve">(3)</w:t>
      </w:r>
      <w:r>
        <w:t xml:space="preserve"> </w:t>
      </w:r>
      <w:r>
        <w:t xml:space="preserve">"Two (2) family dwelling" means a building containing not more than two (2) dwelling units that are connected.</w:t>
      </w:r>
    </w:p>
    <w:p>
      <w:pPr>
        <w:pStyle w:val="kar_section"/>
      </w:pPr>
      <w:r>
        <w:t xml:space="preserve">Section 2.</w:t>
      </w:r>
      <w:r>
        <w:t xml:space="preserve"> </w:t>
      </w:r>
      <w:r>
        <w:t xml:space="preserve">Residential Code.</w:t>
      </w:r>
    </w:p>
    <w:p>
      <w:pPr>
        <w:pStyle w:val="kar_subsection"/>
      </w:pPr>
      <w:r>
        <w:t xml:space="preserve">(1)</w:t>
      </w:r>
      <w:r>
        <w:t xml:space="preserve"> </w:t>
      </w:r>
      <w:r>
        <w:t xml:space="preserve">Except as provided in subsection (2) of this section, the 2015 International Residential Code for One (1) and Two (2) Family Dwellings (IRC) shall be the mandatory state residential building code for all single-family dwellings, two (2) family dwellings, and townhouses constructed in Kentucky, except that the Kentucky amendments in the 2018 Kentucky Residential Code shall supersede any conflicting provision in the 2015 IRC.</w:t>
      </w:r>
    </w:p>
    <w:p>
      <w:pPr>
        <w:pStyle w:val="kar_subsection"/>
      </w:pPr>
      <w:r>
        <w:t xml:space="preserve">(2)</w:t>
      </w:r>
      <w:r>
        <w:t xml:space="preserve"> </w:t>
      </w:r>
      <w:r>
        <w:t xml:space="preserve">Exceptions.</w:t>
      </w:r>
    </w:p>
    <w:p>
      <w:pPr>
        <w:pStyle w:val="kar_paragraph"/>
      </w:pPr>
      <w:r>
        <w:t xml:space="preserve">(a)</w:t>
      </w:r>
      <w:r>
        <w:t xml:space="preserve"> </w:t>
      </w:r>
      <w:r>
        <w:t xml:space="preserve">Permits, inspections, and certificates of occupancy shall not be required for a single-family dwelling unless required by local ordinance.</w:t>
      </w:r>
    </w:p>
    <w:p>
      <w:pPr>
        <w:pStyle w:val="kar_paragraph"/>
      </w:pPr>
      <w:r>
        <w:t xml:space="preserve">(b)</w:t>
      </w:r>
      <w:r>
        <w:t xml:space="preserve"> </w:t>
      </w:r>
      <w:r>
        <w:t xml:space="preserve">All residential occupancies that are not single-family dwellings, two (2) family dwellings, or townhouses shall comply with the 2015 International Building Code and the 2018 Kentucky Building Code.</w:t>
      </w:r>
    </w:p>
    <w:p>
      <w:pPr>
        <w:pStyle w:val="kar_subsection"/>
      </w:pPr>
      <w:r>
        <w:t xml:space="preserve">(3)</w:t>
      </w:r>
      <w:r>
        <w:t xml:space="preserve"> </w:t>
      </w:r>
      <w:r>
        <w:t xml:space="preserve">Plans for single-family dwellings, two (2) family dwellings, and townhouses shall be designed and submitted to conform to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"2015 International Residential Code for One (1) and Two (2) Family Dwellings," International Code Council, Inc.; and</w:t>
      </w:r>
    </w:p>
    <w:p>
      <w:pPr>
        <w:pStyle w:val="kar_paragraph"/>
      </w:pPr>
      <w:r>
        <w:t xml:space="preserve">(b)</w:t>
      </w:r>
      <w:r>
        <w:t xml:space="preserve"> </w:t>
      </w:r>
      <w:r>
        <w:t xml:space="preserve">"2018 Kentucky Residential Code," Second Edition,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 and is available online at http://dhbc.ky.gov/Pages/default.aspx.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206; 629; eff. 9-10-2001; 2455; 29 Ky.R. 135; eff. 7-15-2002; 811; eff. 11-12-2002; 2162; 2470; eff. 3-24-2003; 30 Ky.R. 2384; 30 Ky.R. 2384; 31 Ky.R. 80; eff. 8-6-2004; 31 Ky.R. 1745; 1977; eff. 7-1-2005; 33 Ky.R. 3253; 4191; 34 Ky.R. 33; eff. 7-13-2007; 2592; 35 Ky.R. 307; 567; eff. 9-24-2008; 2362; 36 Ky.R. 76; eff. 7-29-2009; 1132; eff. 4-2-2010; 37 Ky.R. 1095; 1729; 38 Ky.R. 695; eff. 1-6-2012; 40 Ky.R. 173; 546; eff. 9-25-2013; 2633; eff. 8-1-2014; 42 Ky.R. 2653; eff. 6-22-2016; 44 Ky.R. 2445; 45 Ky.R. 98; eff. 8-22-2018; 456 Ky.R. 3277; eff. 8-2-2019; TAm eff. 5-29-2020.)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13a41baf5744f1" /><Relationship Type="http://schemas.openxmlformats.org/officeDocument/2006/relationships/settings" Target="/word/settings.xml" Id="R9748e2b514c944ab" /></Relationships>
</file>