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c8a62f15204d3c" /></Relationships>
</file>

<file path=word/document.xml><?xml version="1.0" encoding="utf-8"?>
<w:document xmlns:w="http://schemas.openxmlformats.org/wordprocessingml/2006/main">
  <w:body>
    <w:p>
      <w:pPr>
        <w:pStyle w:val="kar_citation"/>
      </w:pPr>
      <w:r>
        <w:t>815 KAR 20:170.</w:t>
      </w:r>
      <w:r>
        <w:t xml:space="preserve"> </w:t>
      </w:r>
      <w:r>
        <w:t xml:space="preserve">Manufactured home and mobile home community waste systems, water distribution, and connections.</w:t>
      </w:r>
    </w:p>
    <w:p>
      <w:pPr>
        <w:pStyle w:val="kar_markup_metadata"/>
      </w:pPr>
      <w:r>
        <w:t xml:space="preserve">RELATES TO: </w:t>
      </w:r>
      <w:r>
        <w:t xml:space="preserve">KRS 318.130, 318.150</w:t>
      </w:r>
    </w:p>
    <w:p>
      <w:pPr>
        <w:pStyle w:val="kar_markup_metadata"/>
      </w:pPr>
      <w:r>
        <w:t xml:space="preserve">STATUTORY AUTHORITY: </w:t>
      </w:r>
      <w:r>
        <w:t xml:space="preserve">KRS 198B.040(10), 318.130</w:t>
      </w:r>
    </w:p>
    <w:p>
      <w:pPr>
        <w:pStyle w:val="kar_markup_metadata"/>
      </w:pPr>
      <w:r>
        <w:t xml:space="preserve">NECESSITY, FUNCTION, AND CONFORMITY: </w:t>
      </w:r>
      <w:r>
        <w:t xml:space="preserve">KRS 318.130 requires the department to promulgate administrative regulations establishing the Kentucky State Plumbing Code to regulate plumbing. This administrative regulation establishes the requirements for manufactured home and mobile home community waste systems and connections, water distribution and connections, and specifies the materials and the methods that shall be used in installing the necessary plumbing to serve manufactured homes and mobile homes.</w:t>
      </w:r>
    </w:p>
    <w:p>
      <w:pPr>
        <w:pStyle w:val="kar_section"/>
      </w:pPr>
      <w:r>
        <w:t xml:space="preserve">Section 1.</w:t>
      </w:r>
      <w:r>
        <w:t xml:space="preserve"> </w:t>
      </w:r>
      <w:r>
        <w:t xml:space="preserve">Sewers.</w:t>
      </w:r>
    </w:p>
    <w:p>
      <w:pPr>
        <w:pStyle w:val="kar_subsection"/>
      </w:pPr>
      <w:r>
        <w:t xml:space="preserve">(1)</w:t>
      </w:r>
      <w:r>
        <w:t xml:space="preserve"> </w:t>
      </w:r>
      <w:r>
        <w:t xml:space="preserve">The main and branch sewers for the connections of manufactured homes and mobile homes shall be laid at a uniform grade of no less than one-eighth (1/8) of an inch per foot. All joints shall be water tight.</w:t>
      </w:r>
    </w:p>
    <w:p>
      <w:pPr>
        <w:pStyle w:val="kar_subsection"/>
      </w:pPr>
      <w:r>
        <w:t xml:space="preserve">(2)</w:t>
      </w:r>
      <w:r>
        <w:t xml:space="preserve"> </w:t>
      </w:r>
      <w:r>
        <w:t xml:space="preserve">Clean-outs shall be provided at intervals not to exceed 100 feet for main and branch sewers in sizes six (6) inches and smaller.</w:t>
      </w:r>
    </w:p>
    <w:p>
      <w:pPr>
        <w:pStyle w:val="kar_subsection"/>
      </w:pPr>
      <w:r>
        <w:t xml:space="preserve">(3)</w:t>
      </w:r>
      <w:r>
        <w:t xml:space="preserve"> </w:t>
      </w:r>
      <w:r>
        <w:t xml:space="preserve">The clean-outs shall be extended to the grade with cast-iron soil pipe or schedule 40 ABS or schedule 40 PVC piping and shall be provided with a clean-out plug.</w:t>
      </w:r>
    </w:p>
    <w:p>
      <w:pPr>
        <w:pStyle w:val="kar_subsection"/>
      </w:pPr>
      <w:r>
        <w:t xml:space="preserve">(4)</w:t>
      </w:r>
      <w:r>
        <w:t xml:space="preserve"> </w:t>
      </w:r>
      <w:r>
        <w:t xml:space="preserve">A four (4) inch concrete pad, eighteen (18) inches square, shall be provided around each clean-out.</w:t>
      </w:r>
    </w:p>
    <w:p>
      <w:pPr>
        <w:pStyle w:val="kar_subsection"/>
      </w:pPr>
      <w:r>
        <w:t xml:space="preserve">(5)</w:t>
      </w:r>
      <w:r>
        <w:t xml:space="preserve"> </w:t>
      </w:r>
      <w:r>
        <w:t xml:space="preserve">All main and branch sewers eight (8) inches and larger shall not require clean-outs but shall require standard manholes at intervals not to exceed 400 feet as well as in all changes in direction.</w:t>
      </w:r>
    </w:p>
    <w:p>
      <w:pPr>
        <w:pStyle w:val="kar_subsection"/>
      </w:pPr>
      <w:r>
        <w:t xml:space="preserve">(6)</w:t>
      </w:r>
      <w:r>
        <w:t xml:space="preserve"> </w:t>
      </w:r>
      <w:r>
        <w:t xml:space="preserve">Each manufactured home and mobile home shall be provided with a four (4) inch sewer.</w:t>
      </w:r>
    </w:p>
    <w:p>
      <w:pPr>
        <w:pStyle w:val="kar_subsection"/>
      </w:pPr>
      <w:r>
        <w:t xml:space="preserve">(7)</w:t>
      </w:r>
      <w:r>
        <w:t xml:space="preserve"> </w:t>
      </w:r>
      <w:r>
        <w:t xml:space="preserve">A three (3) inch waste connection shall be provided and extended one (1) inch above the grade using a three (3) inch standard female thread.</w:t>
      </w:r>
    </w:p>
    <w:p>
      <w:pPr>
        <w:pStyle w:val="kar_subsection"/>
      </w:pPr>
      <w:r>
        <w:t xml:space="preserve">(8)</w:t>
      </w:r>
      <w:r>
        <w:t xml:space="preserve"> </w:t>
      </w:r>
      <w:r>
        <w:t xml:space="preserve">A four (4) inch concrete pad twenty-four (24) inches square shall be provided around the waste opening.</w:t>
      </w:r>
    </w:p>
    <w:p>
      <w:pPr>
        <w:pStyle w:val="kar_subsection"/>
      </w:pPr>
      <w:r>
        <w:t xml:space="preserve">(9)</w:t>
      </w:r>
      <w:r>
        <w:t xml:space="preserve"> </w:t>
      </w:r>
      <w:r>
        <w:t xml:space="preserve">A three (3) inch screw plug shall be fastened by a chain to the concrete pad which shall be used if the manufactured home or mobile home opening is not in use.</w:t>
      </w:r>
    </w:p>
    <w:p>
      <w:pPr>
        <w:pStyle w:val="kar_subsection"/>
      </w:pPr>
      <w:r>
        <w:t xml:space="preserve">(10)</w:t>
      </w:r>
      <w:r>
        <w:t xml:space="preserve"> </w:t>
      </w:r>
      <w:r>
        <w:t xml:space="preserve">The waste pipe connection between the manufactured home or mobile home and the sewer waste opening shall be a waterproof connection constructed of either cast-iron, schedule 40 steel pipe, copper pipe, or schedule 40 ABS or schedule 40 PVC piping.</w:t>
      </w:r>
    </w:p>
    <w:p>
      <w:pPr>
        <w:pStyle w:val="kar_subsection"/>
      </w:pPr>
      <w:r>
        <w:t xml:space="preserve">(11)</w:t>
      </w:r>
      <w:r>
        <w:t xml:space="preserve"> </w:t>
      </w:r>
      <w:r>
        <w:t xml:space="preserve">All branch sewers receiving waste from more than one (1) manufactured home or mobile home shall be sized as established in the following table:</w:t>
      </w:r>
    </w:p>
    <w:tbl>
      <w:tblPr>
        <w:tblStyle w:val="kar_table"/>
        <w:tblW w:w="0" w:type="auto"/>
      </w:tblPr>
      <w:tblGrid>
        <w:gridCol w:w="1"/>
        <w:gridCol w:w="1"/>
      </w:tblGrid>
      <w:tr>
        <w:tc>
          <w:tcPr/>
          <w:p>
            <w:pPr>
              <w:pStyle w:val="kar_table_cell"/>
            </w:pPr>
            <w:r>
              <w:t xml:space="preserve">Number of Manufactured Homes/Mobile Homes</w:t>
            </w:r>
          </w:p>
        </w:tc>
        <w:tc>
          <w:tcPr/>
          <w:p>
            <w:pPr>
              <w:pStyle w:val="kar_table_cell"/>
            </w:pPr>
            <w:r>
              <w:t xml:space="preserve">Branch Sewer Size (in inches)</w:t>
            </w:r>
          </w:p>
        </w:tc>
      </w:tr>
      <w:tr>
        <w:tc>
          <w:tcPr/>
          <w:p>
            <w:pPr>
              <w:pStyle w:val="kar_table_cell"/>
            </w:pPr>
            <w:r>
              <w:t xml:space="preserve">1 to 10</w:t>
            </w:r>
          </w:p>
        </w:tc>
        <w:tc>
          <w:tcPr/>
          <w:p>
            <w:pPr>
              <w:pStyle w:val="kar_table_cell"/>
            </w:pPr>
            <w:r>
              <w:t xml:space="preserve">4</w:t>
            </w:r>
          </w:p>
        </w:tc>
      </w:tr>
      <w:tr>
        <w:tc>
          <w:tcPr/>
          <w:p>
            <w:pPr>
              <w:pStyle w:val="kar_table_cell"/>
            </w:pPr>
            <w:r>
              <w:t xml:space="preserve">11 to 20</w:t>
            </w:r>
          </w:p>
        </w:tc>
        <w:tc>
          <w:tcPr/>
          <w:p>
            <w:pPr>
              <w:pStyle w:val="kar_table_cell"/>
            </w:pPr>
            <w:r>
              <w:t xml:space="preserve">5</w:t>
            </w:r>
          </w:p>
        </w:tc>
      </w:tr>
      <w:tr>
        <w:tc>
          <w:tcPr/>
          <w:p>
            <w:pPr>
              <w:pStyle w:val="kar_table_cell"/>
            </w:pPr>
            <w:r>
              <w:t xml:space="preserve">21 to 50</w:t>
            </w:r>
          </w:p>
        </w:tc>
        <w:tc>
          <w:tcPr/>
          <w:p>
            <w:pPr>
              <w:pStyle w:val="kar_table_cell"/>
            </w:pPr>
            <w:r>
              <w:t xml:space="preserve">6</w:t>
            </w:r>
          </w:p>
        </w:tc>
      </w:tr>
      <w:tr>
        <w:tc>
          <w:tcPr/>
          <w:p>
            <w:pPr>
              <w:pStyle w:val="kar_table_cell"/>
            </w:pPr>
            <w:r>
              <w:t xml:space="preserve">51 to 150</w:t>
            </w:r>
          </w:p>
        </w:tc>
        <w:tc>
          <w:tcPr/>
          <w:p>
            <w:pPr>
              <w:pStyle w:val="kar_table_cell"/>
            </w:pPr>
            <w:r>
              <w:t xml:space="preserve">8</w:t>
            </w:r>
          </w:p>
        </w:tc>
      </w:tr>
      <w:tr>
        <w:tc>
          <w:tcPr/>
          <w:p>
            <w:pPr>
              <w:pStyle w:val="kar_table_cell"/>
            </w:pPr>
            <w:r>
              <w:t xml:space="preserve">151 to 300</w:t>
            </w:r>
          </w:p>
        </w:tc>
        <w:tc>
          <w:tcPr/>
          <w:p>
            <w:pPr>
              <w:pStyle w:val="kar_table_cell"/>
            </w:pPr>
            <w:r>
              <w:t xml:space="preserve">10</w:t>
            </w:r>
          </w:p>
        </w:tc>
      </w:tr>
    </w:tbl>
    <w:p>
      <w:pPr>
        <w:pStyle w:val="kar_section"/>
      </w:pPr>
      <w:r>
        <w:t xml:space="preserve">Section 2.</w:t>
      </w:r>
      <w:r>
        <w:t xml:space="preserve"> </w:t>
      </w:r>
      <w:r>
        <w:t xml:space="preserve">Individual Residential Manufactured Homes and Mobile Home Waste System and Connection.</w:t>
      </w:r>
    </w:p>
    <w:p>
      <w:pPr>
        <w:pStyle w:val="kar_subsection"/>
      </w:pPr>
      <w:r>
        <w:t xml:space="preserve">(1)</w:t>
      </w:r>
      <w:r>
        <w:t xml:space="preserve"> </w:t>
      </w:r>
      <w:r>
        <w:t xml:space="preserve">An individual residential manufactured home or mobile home shall either be connected to a municipal sewer system or to an approved private sewage disposal system in accordance with this section.</w:t>
      </w:r>
    </w:p>
    <w:p>
      <w:pPr>
        <w:pStyle w:val="kar_subsection"/>
      </w:pPr>
      <w:r>
        <w:t xml:space="preserve">(2)</w:t>
      </w:r>
      <w:r>
        <w:t xml:space="preserve"> </w:t>
      </w:r>
      <w:r>
        <w:t xml:space="preserve">Each manufactured home and mobile home shall be provided with at least a three (3) inch waste connection to the house sewer.</w:t>
      </w:r>
    </w:p>
    <w:p>
      <w:pPr>
        <w:pStyle w:val="kar_subsection"/>
      </w:pPr>
      <w:r>
        <w:t xml:space="preserve">(3)</w:t>
      </w:r>
      <w:r>
        <w:t xml:space="preserve"> </w:t>
      </w:r>
      <w:r>
        <w:t xml:space="preserve">All piping that does not have at least an eighteen (18) inch cover shall be cast-iron pipe.</w:t>
      </w:r>
    </w:p>
    <w:p>
      <w:pPr>
        <w:pStyle w:val="kar_subsection"/>
      </w:pPr>
      <w:r>
        <w:t xml:space="preserve">(4)</w:t>
      </w:r>
      <w:r>
        <w:t xml:space="preserve"> </w:t>
      </w:r>
      <w:r>
        <w:t xml:space="preserve">Waste connections between the permanent piping and the manufactured home or mobile home waste connection shall be a waterproof connection constructed of either cast-iron, schedule 40 steel pipe, copper pipe, or schedule 40 ABS or PVC piping.</w:t>
      </w:r>
    </w:p>
    <w:p>
      <w:pPr>
        <w:pStyle w:val="kar_section"/>
      </w:pPr>
      <w:r>
        <w:t xml:space="preserve">Section 3.</w:t>
      </w:r>
      <w:r>
        <w:t xml:space="preserve"> </w:t>
      </w:r>
      <w:r>
        <w:t xml:space="preserve">Water Distribution and Connections to Manufactured Homes and Mobile Homes.</w:t>
      </w:r>
    </w:p>
    <w:p>
      <w:pPr>
        <w:pStyle w:val="kar_subsection"/>
      </w:pPr>
      <w:r>
        <w:t xml:space="preserve">(1)</w:t>
      </w:r>
      <w:r>
        <w:t xml:space="preserve"> </w:t>
      </w:r>
      <w:r>
        <w:t xml:space="preserve">An adequate and safe water supply shall be provided to each manufactured home and mobile home.</w:t>
      </w:r>
    </w:p>
    <w:p>
      <w:pPr>
        <w:pStyle w:val="kar_subsection"/>
      </w:pPr>
      <w:r>
        <w:t xml:space="preserve">(2)</w:t>
      </w:r>
      <w:r>
        <w:t xml:space="preserve"> </w:t>
      </w:r>
      <w:r>
        <w:t xml:space="preserve">All materials, including the pipe and fitting used for a connection, shall conform with the code.</w:t>
      </w:r>
    </w:p>
    <w:p>
      <w:pPr>
        <w:pStyle w:val="kar_subsection"/>
      </w:pPr>
      <w:r>
        <w:t xml:space="preserve">(3)</w:t>
      </w:r>
      <w:r>
        <w:t xml:space="preserve"> </w:t>
      </w:r>
      <w:r>
        <w:t xml:space="preserve">An individual water connection shall be provided at an appropriate location for each manufactured home and mobile home space.</w:t>
      </w:r>
    </w:p>
    <w:p>
      <w:pPr>
        <w:pStyle w:val="kar_paragraph"/>
      </w:pPr>
      <w:r>
        <w:t xml:space="preserve">(a)</w:t>
      </w:r>
      <w:r>
        <w:t xml:space="preserve"> </w:t>
      </w:r>
      <w:r>
        <w:t xml:space="preserve">The connection shall consist of a riser terminating at least four (4) inches above the ground with a minimum two (2), three-fourths (3/4) inch valve.</w:t>
      </w:r>
    </w:p>
    <w:p>
      <w:pPr>
        <w:pStyle w:val="kar_paragraph"/>
      </w:pPr>
      <w:r>
        <w:t xml:space="preserve">(b)</w:t>
      </w:r>
      <w:r>
        <w:t xml:space="preserve"> </w:t>
      </w:r>
      <w:r>
        <w:t xml:space="preserve">A frost proof hydrant shall be provided and accessible for lawn watering and fire control outlets with screw connection for the following:</w:t>
      </w:r>
    </w:p>
    <w:p>
      <w:pPr>
        <w:pStyle w:val="kar_subparagraph"/>
      </w:pPr>
      <w:r>
        <w:t xml:space="preserve">1.</w:t>
      </w:r>
      <w:r>
        <w:t xml:space="preserve"> </w:t>
      </w:r>
      <w:r>
        <w:t xml:space="preserve">One (1) valve outlet for the manufactured home or mobile home water system; and</w:t>
      </w:r>
    </w:p>
    <w:p>
      <w:pPr>
        <w:pStyle w:val="kar_subparagraph"/>
      </w:pPr>
      <w:r>
        <w:t xml:space="preserve">2.</w:t>
      </w:r>
      <w:r>
        <w:t xml:space="preserve"> </w:t>
      </w:r>
      <w:r>
        <w:t xml:space="preserve">One (1) valve outlet for lawn watering and fire control.</w:t>
      </w:r>
    </w:p>
    <w:p>
      <w:pPr>
        <w:pStyle w:val="kar_paragraph"/>
      </w:pPr>
      <w:r>
        <w:t xml:space="preserve">(c)</w:t>
      </w:r>
      <w:r>
        <w:t xml:space="preserve"> </w:t>
      </w:r>
      <w:r>
        <w:t xml:space="preserve">The ground surface around the riser pipe shall be graded to divert surface drainage.</w:t>
      </w:r>
    </w:p>
    <w:p>
      <w:pPr>
        <w:pStyle w:val="kar_paragraph"/>
      </w:pPr>
      <w:r>
        <w:t xml:space="preserve">(d)</w:t>
      </w:r>
      <w:r>
        <w:t xml:space="preserve"> </w:t>
      </w:r>
      <w:r>
        <w:t xml:space="preserve">The riser pipe shall be encased in an eight (8) inch vitrified clay pipe or an equivalent with the intervening space filled with an insulating material to protect against freezing.</w:t>
      </w:r>
    </w:p>
    <w:p>
      <w:pPr>
        <w:pStyle w:val="kar_paragraph"/>
      </w:pPr>
      <w:r>
        <w:t xml:space="preserve">(e)</w:t>
      </w:r>
      <w:r>
        <w:t xml:space="preserve"> </w:t>
      </w:r>
      <w:r>
        <w:t xml:space="preserve">An insulated cover shall encase both valve outlets, but not prevent connection to the manufactured home or mobile home during freezing weather.</w:t>
      </w:r>
    </w:p>
    <w:p>
      <w:pPr>
        <w:pStyle w:val="kar_paragraph"/>
      </w:pPr>
      <w:r>
        <w:t xml:space="preserve">(f)</w:t>
      </w:r>
      <w:r>
        <w:t xml:space="preserve"> </w:t>
      </w:r>
      <w:r>
        <w:t xml:space="preserve">A shutoff valve may be placed below the frost depth on the water service line, but this shutoff valve shall not be a stop-and-waste cock.</w:t>
      </w:r>
    </w:p>
    <w:p>
      <w:pPr>
        <w:pStyle w:val="kar_subsection"/>
      </w:pPr>
      <w:r>
        <w:t xml:space="preserve">(4)</w:t>
      </w:r>
      <w:r>
        <w:t xml:space="preserve"> </w:t>
      </w:r>
      <w:r>
        <w:t xml:space="preserve">The water line shall be the size established by the following table when installing water service for a manufactured home or mobile home community:</w:t>
      </w:r>
    </w:p>
    <w:tbl>
      <w:tblPr>
        <w:tblStyle w:val="kar_table"/>
        <w:tblW w:w="0" w:type="auto"/>
      </w:tblPr>
      <w:tblGrid>
        <w:gridCol w:w="1"/>
        <w:gridCol w:w="1"/>
      </w:tblGrid>
      <w:tr>
        <w:tc>
          <w:tcPr/>
          <w:p>
            <w:pPr>
              <w:pStyle w:val="kar_table_cell"/>
            </w:pPr>
            <w:r>
              <w:t xml:space="preserve">Number of Manufactured Homes/Mobile Homes</w:t>
            </w:r>
          </w:p>
        </w:tc>
        <w:tc>
          <w:tcPr/>
          <w:p>
            <w:pPr>
              <w:pStyle w:val="kar_table_cell"/>
            </w:pPr>
            <w:r>
              <w:t xml:space="preserve">Water Line Size (in inches)</w:t>
            </w:r>
          </w:p>
        </w:tc>
      </w:tr>
      <w:tr>
        <w:tc>
          <w:tcPr/>
          <w:p>
            <w:pPr>
              <w:pStyle w:val="kar_table_cell"/>
            </w:pPr>
            <w:r>
              <w:t xml:space="preserve">1 to 2</w:t>
            </w:r>
          </w:p>
        </w:tc>
        <w:tc>
          <w:tcPr/>
          <w:p>
            <w:pPr>
              <w:pStyle w:val="kar_table_cell"/>
            </w:pPr>
            <w:r>
              <w:t xml:space="preserve">3/4</w:t>
            </w:r>
          </w:p>
        </w:tc>
      </w:tr>
      <w:tr>
        <w:tc>
          <w:tcPr/>
          <w:p>
            <w:pPr>
              <w:pStyle w:val="kar_table_cell"/>
            </w:pPr>
            <w:r>
              <w:t xml:space="preserve">3 to 6</w:t>
            </w:r>
          </w:p>
        </w:tc>
        <w:tc>
          <w:tcPr/>
          <w:p>
            <w:pPr>
              <w:pStyle w:val="kar_table_cell"/>
            </w:pPr>
            <w:r>
              <w:t xml:space="preserve">1</w:t>
            </w:r>
          </w:p>
        </w:tc>
      </w:tr>
      <w:tr>
        <w:tc>
          <w:tcPr/>
          <w:p>
            <w:pPr>
              <w:pStyle w:val="kar_table_cell"/>
            </w:pPr>
            <w:r>
              <w:t xml:space="preserve">7 to 12</w:t>
            </w:r>
          </w:p>
        </w:tc>
        <w:tc>
          <w:tcPr/>
          <w:p>
            <w:pPr>
              <w:pStyle w:val="kar_table_cell"/>
            </w:pPr>
            <w:r>
              <w:t xml:space="preserve">1 1/4</w:t>
            </w:r>
          </w:p>
        </w:tc>
      </w:tr>
      <w:tr>
        <w:tc>
          <w:tcPr/>
          <w:p>
            <w:pPr>
              <w:pStyle w:val="kar_table_cell"/>
            </w:pPr>
            <w:r>
              <w:t xml:space="preserve">13 to 20</w:t>
            </w:r>
          </w:p>
        </w:tc>
        <w:tc>
          <w:tcPr/>
          <w:p>
            <w:pPr>
              <w:pStyle w:val="kar_table_cell"/>
            </w:pPr>
            <w:r>
              <w:t xml:space="preserve">1 1/2</w:t>
            </w:r>
          </w:p>
        </w:tc>
      </w:tr>
      <w:tr>
        <w:tc>
          <w:tcPr/>
          <w:p>
            <w:pPr>
              <w:pStyle w:val="kar_table_cell"/>
            </w:pPr>
            <w:r>
              <w:t xml:space="preserve">21 to 50</w:t>
            </w:r>
          </w:p>
        </w:tc>
        <w:tc>
          <w:tcPr/>
          <w:p>
            <w:pPr>
              <w:pStyle w:val="kar_table_cell"/>
            </w:pPr>
            <w:r>
              <w:t xml:space="preserve">2</w:t>
            </w:r>
          </w:p>
        </w:tc>
      </w:tr>
      <w:tr>
        <w:tc>
          <w:tcPr/>
          <w:p>
            <w:pPr>
              <w:pStyle w:val="kar_table_cell"/>
            </w:pPr>
            <w:r>
              <w:t xml:space="preserve">51 to 100</w:t>
            </w:r>
          </w:p>
        </w:tc>
        <w:tc>
          <w:tcPr/>
          <w:p>
            <w:pPr>
              <w:pStyle w:val="kar_table_cell"/>
            </w:pPr>
            <w:r>
              <w:t xml:space="preserve">3</w:t>
            </w:r>
          </w:p>
        </w:tc>
      </w:tr>
      <w:tr>
        <w:tc>
          <w:tcPr/>
          <w:p>
            <w:pPr>
              <w:pStyle w:val="kar_table_cell"/>
            </w:pPr>
            <w:r>
              <w:t xml:space="preserve">101 to 300</w:t>
            </w:r>
          </w:p>
        </w:tc>
        <w:tc>
          <w:tcPr/>
          <w:p>
            <w:pPr>
              <w:pStyle w:val="kar_table_cell"/>
            </w:pPr>
            <w:r>
              <w:t xml:space="preserve">4</w:t>
            </w:r>
          </w:p>
        </w:tc>
      </w:tr>
    </w:tbl>
    <w:p>
      <w:pPr>
        <w:pStyle w:val="kar_caption"/>
      </w:pPr>
    </w:p>
    <w:p>
      <w:pPr>
        <w:pStyle w:val="kar_history"/>
        <w:sectPr>
          <w:pgSz w:w="12240" w:h="15840" w:orient="portrait" w:code="1"/>
          <w:pgMar w:top="1080" w:right="1080" w:bottom="1080" w:left="1080" w:header="720" w:footer="720" w:gutter="0"/>
          <w:paperSrc w:first="263" w:other="263"/>
          <w:noEndnote/>
          <w:docGrid w:linePitch="218"/>
        </w:sectPr>
      </w:pPr>
      <w:r>
        <w:t xml:space="preserve">(PC-13-1; 1 Ky.R. 488; 1350; eff. 6-11-1975; 3 Ky.R. 705; eff. 7-7-1977; Recodified from 401 KAR 1:130, 7-5-78; Am. 17 Ky.R. 2895; eff. 5-3-91; TAm eff. 8-9-2007; 35 Ky.R. 2612; 36 Ky.R. 102; eff. 7-29-2009; 46 Ky.R.1689; 2447;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fe2ca9c6834479" /><Relationship Type="http://schemas.openxmlformats.org/officeDocument/2006/relationships/settings" Target="/word/settings.xml" Id="R728088ed3a6d4030" /></Relationships>
</file>