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aae3d9a9c4b48" /></Relationships>
</file>

<file path=word/document.xml><?xml version="1.0" encoding="utf-8"?>
<w:document xmlns:w="http://schemas.openxmlformats.org/wordprocessingml/2006/main">
  <w:body>
    <w:p>
      <w:pPr>
        <w:pStyle w:val="kar_citation"/>
      </w:pPr>
      <w:r>
        <w:t>830 KAR 1:010.</w:t>
      </w:r>
      <w:r>
        <w:t xml:space="preserve"> </w:t>
      </w:r>
      <w:r>
        <w:t xml:space="preserve">Application, certificate of registration, and fees.</w:t>
      </w:r>
    </w:p>
    <w:p>
      <w:pPr>
        <w:pStyle w:val="kar_markup_metadata"/>
      </w:pPr>
      <w:r>
        <w:t xml:space="preserve">RELATES TO: </w:t>
      </w:r>
      <w:r>
        <w:t xml:space="preserve">KRS 433.900 - 433.906</w:t>
      </w:r>
    </w:p>
    <w:p>
      <w:pPr>
        <w:pStyle w:val="kar_markup_metadata"/>
      </w:pPr>
      <w:r>
        <w:t xml:space="preserve">STATUTORY AUTHORITY: </w:t>
      </w:r>
      <w:r>
        <w:t xml:space="preserve">KRS 433.902</w:t>
      </w:r>
    </w:p>
    <w:p>
      <w:pPr>
        <w:pStyle w:val="kar_markup_metadata"/>
      </w:pPr>
      <w:r>
        <w:t xml:space="preserve">NECESSITY, FUNCTION, AND CONFORMITY: </w:t>
      </w:r>
      <w:r>
        <w:t xml:space="preserve">KRS 433.902(4) requires the Department of Professional Licensing to promulgate administrative regulations to establish registration forms and fees for secondary metals recyclers. This administrative regulation establishes the required forms and fees for registration as a secondary metals recycler.</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applicant for a certificate of registration shall submit:</w:t>
      </w:r>
    </w:p>
    <w:p>
      <w:pPr>
        <w:pStyle w:val="kar_paragraph"/>
      </w:pPr>
      <w:r>
        <w:t xml:space="preserve">(a)</w:t>
      </w:r>
      <w:r>
        <w:t xml:space="preserve"> </w:t>
      </w:r>
      <w:r>
        <w:t xml:space="preserve">A completed Form SMR-1, Application for Registration as a Secondary Metals Recycler;</w:t>
      </w:r>
    </w:p>
    <w:p>
      <w:pPr>
        <w:pStyle w:val="kar_paragraph"/>
      </w:pPr>
      <w:r>
        <w:t xml:space="preserve">(b)</w:t>
      </w:r>
      <w:r>
        <w:t xml:space="preserve"> </w:t>
      </w:r>
      <w:r>
        <w:t xml:space="preserve">Payment of the application fee by check or money order made payable to the Kentucky State Treasurer in the amount of $75 for each location, if more than one; and</w:t>
      </w:r>
    </w:p>
    <w:p>
      <w:pPr>
        <w:pStyle w:val="kar_paragraph"/>
      </w:pPr>
      <w:r>
        <w:t xml:space="preserve">(c)</w:t>
      </w:r>
      <w:r>
        <w:t xml:space="preserve"> </w:t>
      </w:r>
      <w:r>
        <w:t xml:space="preserve">A copy of the results of a name-based background check on the applicant performed by the Kentucky State Police.</w:t>
      </w:r>
    </w:p>
    <w:p>
      <w:pPr>
        <w:pStyle w:val="kar_subsection"/>
      </w:pPr>
      <w:r>
        <w:t xml:space="preserve">(2)</w:t>
      </w:r>
      <w:r>
        <w:t xml:space="preserve"> </w:t>
      </w:r>
      <w:r>
        <w:t xml:space="preserve">Renewal applications shall include the applicant's registration number and any changes to information previously submitted to the Department.</w:t>
      </w:r>
    </w:p>
    <w:p>
      <w:pPr>
        <w:pStyle w:val="kar_section"/>
      </w:pPr>
      <w:r>
        <w:t xml:space="preserve">Section 2.</w:t>
      </w:r>
      <w:r>
        <w:t xml:space="preserve"> </w:t>
      </w:r>
      <w:r>
        <w:t xml:space="preserve">Registration.</w:t>
      </w:r>
    </w:p>
    <w:p>
      <w:pPr>
        <w:pStyle w:val="kar_subsection"/>
      </w:pPr>
      <w:r>
        <w:t xml:space="preserve">(1)</w:t>
      </w:r>
      <w:r>
        <w:t xml:space="preserve"> </w:t>
      </w:r>
      <w:r>
        <w:t xml:space="preserve">If an application is approved, the Department shall issue a certificate to the applicant.</w:t>
      </w:r>
    </w:p>
    <w:p>
      <w:pPr>
        <w:pStyle w:val="kar_subsection"/>
      </w:pPr>
      <w:r>
        <w:t xml:space="preserve">(2)</w:t>
      </w:r>
      <w:r>
        <w:t xml:space="preserve"> </w:t>
      </w:r>
      <w:r>
        <w:t xml:space="preserve">Registrations shall be valid for one (1) year from the date of issuance.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SMR-1, "Application for Registration as a Secondary Metals Recycler", November 2019,is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1089; 1408; eff. 2-1-2013; 45 Ky.R. 180; eff. 10-5-2018; TAm eff. 11-22-2019; Expired 10-5-2025; 7 years after last effective date;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54c008f2b1451c" /><Relationship Type="http://schemas.openxmlformats.org/officeDocument/2006/relationships/settings" Target="/word/settings.xml" Id="Rc318cd03b31c40d0" /></Relationships>
</file>