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7fa3da89d46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1:280.</w:t>
      </w:r>
      <w:r>
        <w:t xml:space="preserve"> </w:t>
      </w:r>
      <w:r>
        <w:t xml:space="preserve">Payments for Podiatry Program services.</w:t>
      </w:r>
    </w:p>
    <w:p>
      <w:pPr>
        <w:pStyle w:val="kar_markup_metadata"/>
      </w:pPr>
      <w:r>
        <w:t xml:space="preserve">RELATES TO: </w:t>
      </w:r>
      <w:r>
        <w:t xml:space="preserve">KRS 205.520, 205.560</w:t>
      </w:r>
    </w:p>
    <w:p>
      <w:pPr>
        <w:pStyle w:val="kar_markup_metadata"/>
      </w:pPr>
      <w:r>
        <w:t xml:space="preserve">STATUTORY AUTHORITY: </w:t>
      </w:r>
      <w:r>
        <w:t xml:space="preserve">KRS 194A.030(2), 194A.050(1), 205.520(3)</w:t>
      </w:r>
    </w:p>
    <w:p>
      <w:pPr>
        <w:pStyle w:val="kar_markup_metadata"/>
      </w:pPr>
      <w:r>
        <w:t xml:space="preserve">NECESSITY, FUNCTION, AND CONFORMITY: </w:t>
      </w:r>
      <w:r>
        <w:t xml:space="preserve">The Cabinet for Health and Family Services, Department for Medicaid Services, has responsibility to administer the Medicaid Program. KRS 205.520(3) authorizes the cabinet, by administrative regulation, to comply with a requirement that may be imposed or opportunity presented by federal law to qualify for Medicaid funds. This administrative regulation establishes the method for determining payments for podiatry services.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Payments for Podiatry Services.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 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The department shall reimburse a licensed, participating podiatrist for a covered podiatry service as established in 907 KAR 1:270.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laboratory service performed by a podiatrist pursuant to this section shall be reimbursed as established in subsection (3) of this section.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Procedures performed pursuant to this section shall be reimbursed on parity with medical doctors using the Kentucky Medicaid fee schedule and in accordance with 907 KAR 3:010.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Reimbursement for a covered clinical laboratory service shall be based on the Medicare allowable payment rate.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(907 KAR 001:280. 11 Ky.R. 1013; eff. 1-7-1985; Recodified from 904 KAR 1:280, 5-2-1986; 17 Ky.R. 579; eff. 10-14-1990; 23 Ky.R. 4243; 24 Ky.R. 384; eff. 7-16-1997; 45 Ky.R. 2214; eff. 4-5-2019; Crt eff. 1-7-2026.)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a35d581c924faf" /><Relationship Type="http://schemas.openxmlformats.org/officeDocument/2006/relationships/settings" Target="/word/settings.xml" Id="Rc2d0606751594abb" /></Relationships>
</file>