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e1cd1773a44d98" /></Relationships>
</file>

<file path=word/document.xml><?xml version="1.0" encoding="utf-8"?>
<w:document xmlns:w="http://schemas.openxmlformats.org/wordprocessingml/2006/main">
  <w:body>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216.380, 42 C.F.R. 400.203, 413.70, 440.2, 440.20(a), 447.321, 42 U.S.C. 1395l(h),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447.53.</w:t>
      </w:r>
    </w:p>
    <w:p>
      <w:pPr>
        <w:pStyle w:val="kar_subsection"/>
      </w:pPr>
      <w:r>
        <w:t xml:space="preserve">(10)</w:t>
      </w:r>
      <w:r>
        <w:t xml:space="preserve"> </w:t>
      </w:r>
      <w:r>
        <w:t xml:space="preserve">"Outpatient cost-to-charge ratio" means the ratio determined by dividing the costs reported on Supplemental Worksheet E-3, Part III, Page 12 column 2, line 27 of the cost report by the charges reported on column 2, line 20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6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t xml:space="preserve">Section 7.</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t xml:space="preserve">Section 8.</w:t>
      </w:r>
      <w:r>
        <w:t xml:space="preserve"> </w:t>
      </w:r>
      <w:r>
        <w:t xml:space="preserve">Appeals. A hospital may appeal a decision by the department regarding the application of this administrative regulation in accordance with 907 KAR 1:671.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III, Page 12, May 2004 edition";</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103; eff. 9-10-1975; 10 Ky.R. 316; eff. 9-7-1983; 12 Ky.R. 370; eff. 10-8-1985; Recodified from 904 KAR 1:015, 5-2-1986; 15 Ky.R. 674; eff. 9-21-88; 17 Ky.R. 558; 1523; 1944; eff. 12-7-90; 28 Ky.R. 943; 1404; eff. 12-19-2001; 2274; 2592; eff. 6-14-02; 30 Ky.R. 725; 1525; eff. 1-5-2004; 35 Ky.R. 199; 943; 1473; eff. 1-5-2009; 37 Ky.R. 554; 1447; eff. 12-1-2010; Recodified from 907 KAR 1:015, eff. 5-3-11; TAm 4-11-2012;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bd072da7d4765" /><Relationship Type="http://schemas.openxmlformats.org/officeDocument/2006/relationships/settings" Target="/word/settings.xml" Id="R7739619f2ce743ff" /></Relationships>
</file>