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79435d721d4581" /></Relationships>
</file>

<file path=word/document.xml><?xml version="1.0" encoding="utf-8"?>
<w:document xmlns:w="http://schemas.openxmlformats.org/wordprocessingml/2006/main">
  <w:body>
    <w:p>
      <w:pPr>
        <w:pStyle w:val="kar_citation"/>
      </w:pPr>
      <w:r>
        <w:t>907 KAR 15:085.</w:t>
      </w:r>
      <w:r>
        <w:t xml:space="preserve"> </w:t>
      </w:r>
      <w:r>
        <w:t xml:space="preserve">Reimbursement provisions and requirements regarding outpatient chemical dependency treatment center services.</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outpatient chemical dependency treatment center services to Medicaid recipients who are not enrolled with a managed care organization.</w:t>
      </w:r>
    </w:p>
    <w:p>
      <w:pPr>
        <w:pStyle w:val="kar_section"/>
      </w:pPr>
      <w:r>
        <w:t xml:space="preserve">Section 1.</w:t>
      </w:r>
      <w:r>
        <w:t xml:space="preserve"> </w:t>
      </w:r>
      <w:r>
        <w:t xml:space="preserve">General Requirements. For the department to reimburse for a service covered under this administrative regulation, the service shall:</w:t>
      </w:r>
    </w:p>
    <w:p>
      <w:pPr>
        <w:pStyle w:val="kar_subsection"/>
      </w:pPr>
      <w:r>
        <w:t xml:space="preserve">(1)</w:t>
      </w:r>
      <w:r>
        <w:t xml:space="preserve"> </w:t>
      </w:r>
      <w:r>
        <w:t xml:space="preserve">Meet the requirements established in 907 KAR 15:080; and</w:t>
      </w:r>
    </w:p>
    <w:p>
      <w:pPr>
        <w:pStyle w:val="kar_subsection"/>
      </w:pPr>
      <w:r>
        <w:t xml:space="preserve">(2)</w:t>
      </w:r>
      <w:r>
        <w:t xml:space="preserve"> </w:t>
      </w:r>
      <w:r>
        <w:t xml:space="preserve">Be covered in accordance with 907 KAR 15:080.</w:t>
      </w:r>
    </w:p>
    <w:p>
      <w:pPr>
        <w:pStyle w:val="kar_section"/>
      </w:pPr>
      <w:r>
        <w:t xml:space="preserve">Section 2.</w:t>
      </w:r>
      <w:r>
        <w:t xml:space="preserve"> </w:t>
      </w:r>
      <w:r>
        <w:t xml:space="preserve">Reimbursement.</w:t>
      </w:r>
    </w:p>
    <w:p>
      <w:pPr>
        <w:pStyle w:val="kar_subsection"/>
      </w:pPr>
      <w:r>
        <w:t xml:space="preserve">(1)</w:t>
      </w:r>
      <w:r>
        <w:t xml:space="preserve"> </w:t>
      </w:r>
      <w:r>
        <w:t xml:space="preserve"> </w:t>
      </w:r>
    </w:p>
    <w:p>
      <w:pPr>
        <w:pStyle w:val="kar_paragraph"/>
      </w:pPr>
      <w:r>
        <w:t xml:space="preserve">(a)</w:t>
      </w:r>
      <w:r>
        <w:t xml:space="preserve"> </w:t>
      </w:r>
      <w:r>
        <w:t xml:space="preserve">A unit of service for a service listed on the CDTC Non-Medicare Services Fee Schedule shall be as established on the CDTC Non-Medicare Services Fee Schedule.</w:t>
      </w:r>
    </w:p>
    <w:p>
      <w:pPr>
        <w:pStyle w:val="kar_paragraph"/>
      </w:pPr>
      <w:r>
        <w:t xml:space="preserve">(b)</w:t>
      </w:r>
      <w:r>
        <w:t xml:space="preserve"> </w:t>
      </w:r>
      <w:r>
        <w:t xml:space="preserve">A unit of service for a service not listed on the CDTC Non-Medicare Services Fee Schedule shall be:</w:t>
      </w:r>
    </w:p>
    <w:p>
      <w:pPr>
        <w:pStyle w:val="kar_subparagraph"/>
      </w:pPr>
      <w:r>
        <w:t xml:space="preserve">1.</w:t>
      </w:r>
      <w:r>
        <w:t xml:space="preserve"> </w:t>
      </w:r>
      <w:r>
        <w:t xml:space="preserve">Fifteen (15) minutes in length unless a different amount is established for the service in the corresponding:</w:t>
      </w:r>
    </w:p>
    <w:p>
      <w:pPr>
        <w:pStyle w:val="kar_clause"/>
      </w:pPr>
      <w:r>
        <w:t xml:space="preserve">a.</w:t>
      </w:r>
      <w:r>
        <w:t xml:space="preserve"> </w:t>
      </w:r>
      <w:r>
        <w:t xml:space="preserve">Current procedural terminology code; or</w:t>
      </w:r>
    </w:p>
    <w:p>
      <w:pPr>
        <w:pStyle w:val="kar_clause"/>
      </w:pPr>
      <w:r>
        <w:t xml:space="preserve">b.</w:t>
      </w:r>
      <w:r>
        <w:t xml:space="preserve"> </w:t>
      </w:r>
      <w:r>
        <w:t xml:space="preserve">Healthcare common procedure coding system code; or</w:t>
      </w:r>
    </w:p>
    <w:p>
      <w:pPr>
        <w:pStyle w:val="kar_subparagraph"/>
      </w:pPr>
      <w:r>
        <w:t xml:space="preserve">2.</w:t>
      </w:r>
      <w:r>
        <w:t xml:space="preserve"> </w:t>
      </w:r>
      <w:r>
        <w:t xml:space="preserve">The unit amount established in the corresponding:</w:t>
      </w:r>
    </w:p>
    <w:p>
      <w:pPr>
        <w:pStyle w:val="kar_clause"/>
      </w:pPr>
      <w:r>
        <w:t xml:space="preserve">a.</w:t>
      </w:r>
      <w:r>
        <w:t xml:space="preserve"> </w:t>
      </w:r>
      <w:r>
        <w:t xml:space="preserve">Current procedural terminology code; or</w:t>
      </w:r>
    </w:p>
    <w:p>
      <w:pPr>
        <w:pStyle w:val="kar_clause"/>
      </w:pPr>
      <w:r>
        <w:t xml:space="preserve">b.</w:t>
      </w:r>
      <w:r>
        <w:t xml:space="preserve"> </w:t>
      </w:r>
      <w:r>
        <w:t xml:space="preserve">Healthcare common procedure coding system code.</w:t>
      </w:r>
    </w:p>
    <w:p>
      <w:pPr>
        <w:pStyle w:val="kar_subsection"/>
      </w:pPr>
      <w:r>
        <w:t xml:space="preserve">(2)</w:t>
      </w:r>
      <w:r>
        <w:t xml:space="preserve"> </w:t>
      </w:r>
      <w:r>
        <w:t xml:space="preserve">The rate per unit for a screening or for crisis intervention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alcohol and drug counselor in accordance with Section 4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clinical alcohol and drug counselor associate:</w:t>
      </w:r>
    </w:p>
    <w:p>
      <w:pPr>
        <w:pStyle w:val="kar_clause"/>
      </w:pPr>
      <w:r>
        <w:t xml:space="preserve">a.</w:t>
      </w:r>
      <w:r>
        <w:t xml:space="preserve"> </w:t>
      </w:r>
      <w:r>
        <w:t xml:space="preserve">In accordance with Section 4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(3)</w:t>
      </w:r>
      <w:r>
        <w:t xml:space="preserve"> </w:t>
      </w:r>
      <w:r>
        <w:t xml:space="preserve">The rate per unit for an assessment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alcohol and drug counselor in accordance with Section 4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Licensed assistant behavior analyst working under the supervision of a billing supervisor;</w:t>
      </w:r>
    </w:p>
    <w:p>
      <w:pPr>
        <w:pStyle w:val="kar_subparagraph"/>
      </w:pPr>
      <w:r>
        <w:t xml:space="preserve">9.</w:t>
      </w:r>
      <w:r>
        <w:t xml:space="preserve"> </w:t>
      </w:r>
      <w:r>
        <w:t xml:space="preserve">Certified alcohol and drug counselor working under the supervision of a billing supervisor; or</w:t>
      </w:r>
    </w:p>
    <w:p>
      <w:pPr>
        <w:pStyle w:val="kar_subparagraph"/>
      </w:pPr>
      <w:r>
        <w:t xml:space="preserve">10.</w:t>
      </w:r>
      <w:r>
        <w:t xml:space="preserve"> </w:t>
      </w:r>
      <w:r>
        <w:t xml:space="preserve">Licensed clinical alcohol and drug counselor associate:</w:t>
      </w:r>
    </w:p>
    <w:p>
      <w:pPr>
        <w:pStyle w:val="kar_clause"/>
      </w:pPr>
      <w:r>
        <w:t xml:space="preserve">a.</w:t>
      </w:r>
      <w:r>
        <w:t xml:space="preserve"> </w:t>
      </w:r>
      <w:r>
        <w:t xml:space="preserve">In accordance with Section 4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(4)</w:t>
      </w:r>
      <w:r>
        <w:t xml:space="preserve"> </w:t>
      </w:r>
      <w:r>
        <w:t xml:space="preserve">The rate per unit for psychological testing shall be:</w:t>
      </w:r>
    </w:p>
    <w:p>
      <w:pPr>
        <w:pStyle w:val="kar_paragraph"/>
      </w:pPr>
      <w:r>
        <w:t xml:space="preserve">(a)</w:t>
      </w:r>
      <w:r>
        <w:t xml:space="preserve"> </w:t>
      </w:r>
      <w:r>
        <w:t xml:space="preserve">63.75 percent of the rate on the Kentucky-specific Medicare Physician Fee Schedule for the service if provided by a licensed psychologist;</w:t>
      </w:r>
    </w:p>
    <w:p>
      <w:pPr>
        <w:pStyle w:val="kar_paragraph"/>
      </w:pPr>
      <w:r>
        <w:t xml:space="preserve">(b)</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psychological practitioner; or</w:t>
      </w:r>
    </w:p>
    <w:p>
      <w:pPr>
        <w:pStyle w:val="kar_subparagraph"/>
      </w:pPr>
      <w:r>
        <w:t xml:space="preserve">2.</w:t>
      </w:r>
      <w:r>
        <w:t xml:space="preserve"> </w:t>
      </w:r>
      <w:r>
        <w:t xml:space="preserve">Certified psychologist with autonomous functioning; or</w:t>
      </w:r>
    </w:p>
    <w:p>
      <w:pPr>
        <w:pStyle w:val="kar_paragraph"/>
      </w:pPr>
      <w:r>
        <w:t xml:space="preserve">(c)</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Licensed psychological associate working under the supervision of a board-approved licensed psychologist; or</w:t>
      </w:r>
    </w:p>
    <w:p>
      <w:pPr>
        <w:pStyle w:val="kar_subparagraph"/>
      </w:pPr>
      <w:r>
        <w:t xml:space="preserve">2.</w:t>
      </w:r>
      <w:r>
        <w:t xml:space="preserve"> </w:t>
      </w:r>
      <w:r>
        <w:t xml:space="preserve">Certified psychologist working under the supervision of a board-approved licensed psychologist.</w:t>
      </w:r>
    </w:p>
    <w:p>
      <w:pPr>
        <w:pStyle w:val="kar_subsection"/>
      </w:pPr>
      <w:r>
        <w:t xml:space="preserve">(5)</w:t>
      </w:r>
      <w:r>
        <w:t xml:space="preserve"> </w:t>
      </w:r>
      <w:r>
        <w:t xml:space="preserve">The rate per unit for individual outpatient therapy, group outpatient therapy, or collateral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and alcohol drug counselor in accordance with Section 4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Licensed assistant behavior analyst working under the supervision of a billing supervisor;</w:t>
      </w:r>
    </w:p>
    <w:p>
      <w:pPr>
        <w:pStyle w:val="kar_subparagraph"/>
      </w:pPr>
      <w:r>
        <w:t xml:space="preserve">9.</w:t>
      </w:r>
      <w:r>
        <w:t xml:space="preserve"> </w:t>
      </w:r>
      <w:r>
        <w:t xml:space="preserve">Certified alcohol and drug counselor working under the supervision of a billing supervisor; or</w:t>
      </w:r>
    </w:p>
    <w:p>
      <w:pPr>
        <w:pStyle w:val="kar_subparagraph"/>
      </w:pPr>
      <w:r>
        <w:t xml:space="preserve">10.</w:t>
      </w:r>
      <w:r>
        <w:t xml:space="preserve"> </w:t>
      </w:r>
      <w:r>
        <w:t xml:space="preserve">Licensed clinical alcohol and drug counselor associate:</w:t>
      </w:r>
    </w:p>
    <w:p>
      <w:pPr>
        <w:pStyle w:val="kar_clause"/>
      </w:pPr>
      <w:r>
        <w:t xml:space="preserve">a.</w:t>
      </w:r>
      <w:r>
        <w:t xml:space="preserve"> </w:t>
      </w:r>
      <w:r>
        <w:t xml:space="preserve">In accordance with Section 4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(6)</w:t>
      </w:r>
      <w:r>
        <w:t xml:space="preserve"> </w:t>
      </w:r>
      <w:r>
        <w:t xml:space="preserve">The rate per unit for family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and alcohol drug counselor in accordance with Section 4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clinical and alcohol drug counselor associate in accordance with Section 4 of this administrative regulation.</w:t>
      </w:r>
    </w:p>
    <w:p>
      <w:pPr>
        <w:pStyle w:val="kar_subsection"/>
      </w:pPr>
      <w:r>
        <w:t xml:space="preserve">(7)</w:t>
      </w:r>
      <w:r>
        <w:t xml:space="preserve"> </w:t>
      </w:r>
      <w:r>
        <w:t xml:space="preserve">Reimbursement for the following services shall be as established on the CDTC Non-Medicare Services Fee Schedule:</w:t>
      </w:r>
    </w:p>
    <w:p>
      <w:pPr>
        <w:pStyle w:val="kar_paragraph"/>
      </w:pPr>
      <w:r>
        <w:t xml:space="preserve">(a)</w:t>
      </w:r>
      <w:r>
        <w:t xml:space="preserve"> </w:t>
      </w:r>
      <w:r>
        <w:t xml:space="preserve">Mobile crisis services;</w:t>
      </w:r>
    </w:p>
    <w:p>
      <w:pPr>
        <w:pStyle w:val="kar_paragraph"/>
      </w:pPr>
      <w:r>
        <w:t xml:space="preserve">(b)</w:t>
      </w:r>
      <w:r>
        <w:t xml:space="preserve"> </w:t>
      </w:r>
      <w:r>
        <w:t xml:space="preserve">Day treatment;</w:t>
      </w:r>
    </w:p>
    <w:p>
      <w:pPr>
        <w:pStyle w:val="kar_paragraph"/>
      </w:pPr>
      <w:r>
        <w:t xml:space="preserve">(c)</w:t>
      </w:r>
      <w:r>
        <w:t xml:space="preserve"> </w:t>
      </w:r>
      <w:r>
        <w:t xml:space="preserve">Peer support services;</w:t>
      </w:r>
    </w:p>
    <w:p>
      <w:pPr>
        <w:pStyle w:val="kar_paragraph"/>
      </w:pPr>
      <w:r>
        <w:t xml:space="preserve">(d)</w:t>
      </w:r>
      <w:r>
        <w:t xml:space="preserve"> </w:t>
      </w:r>
      <w:r>
        <w:t xml:space="preserve">Parent or family peer support services;</w:t>
      </w:r>
    </w:p>
    <w:p>
      <w:pPr>
        <w:pStyle w:val="kar_paragraph"/>
      </w:pPr>
      <w:r>
        <w:t xml:space="preserve">(e)</w:t>
      </w:r>
      <w:r>
        <w:t xml:space="preserve"> </w:t>
      </w:r>
      <w:r>
        <w:t xml:space="preserve">Intensive outpatient program services; or</w:t>
      </w:r>
    </w:p>
    <w:p>
      <w:pPr>
        <w:pStyle w:val="kar_paragraph"/>
      </w:pPr>
      <w:r>
        <w:t xml:space="preserve">(f)</w:t>
      </w:r>
      <w:r>
        <w:t xml:space="preserve"> </w:t>
      </w:r>
      <w:r>
        <w:t xml:space="preserve">Screening, brief intervention, and referral to treatment.</w:t>
      </w:r>
    </w:p>
    <w:p>
      <w:pPr>
        <w:pStyle w:val="kar_subsection"/>
      </w:pPr>
      <w:r>
        <w:t xml:space="preserve">(8)</w:t>
      </w:r>
      <w:r>
        <w:t xml:space="preserve"> </w:t>
      </w:r>
      <w:r>
        <w:t xml:space="preserve"> </w:t>
      </w:r>
    </w:p>
    <w:p>
      <w:pPr>
        <w:pStyle w:val="kar_paragraph"/>
      </w:pPr>
      <w:r>
        <w:t xml:space="preserve">(a)</w:t>
      </w:r>
      <w:r>
        <w:t xml:space="preserve"> </w:t>
      </w:r>
      <w:r>
        <w:t xml:space="preserve">The department shall use the current version of the Kentucky-specific Medicare Physician Fee Schedule for reimbursement purposes.</w:t>
      </w:r>
    </w:p>
    <w:p>
      <w:pPr>
        <w:pStyle w:val="kar_paragraph"/>
      </w:pPr>
      <w:r>
        <w:t xml:space="preserve">(b)</w:t>
      </w:r>
      <w:r>
        <w:t xml:space="preserve"> </w:t>
      </w:r>
      <w:r>
        <w:t xml:space="preserve">For example, if the Kentucky-specific Medicare Physician Fee Schedule currently published and used by the Centers for Medicare and Medicaid Services for the Medicare Program is:</w:t>
      </w:r>
    </w:p>
    <w:p>
      <w:pPr>
        <w:pStyle w:val="kar_subparagraph"/>
      </w:pPr>
      <w:r>
        <w:t xml:space="preserve">1.</w:t>
      </w:r>
      <w:r>
        <w:t xml:space="preserve"> </w:t>
      </w:r>
      <w:r>
        <w:t xml:space="preserve">An interim version, the department shall use the interim version until the final version has been published; or</w:t>
      </w:r>
    </w:p>
    <w:p>
      <w:pPr>
        <w:pStyle w:val="kar_subparagraph"/>
      </w:pPr>
      <w:r>
        <w:t xml:space="preserve">2.</w:t>
      </w:r>
      <w:r>
        <w:t xml:space="preserve"> </w:t>
      </w:r>
      <w:r>
        <w:t xml:space="preserve">A final version, the department shall use the final version.</w:t>
      </w:r>
    </w:p>
    <w:p>
      <w:pPr>
        <w:pStyle w:val="kar_subsection"/>
      </w:pPr>
      <w:r>
        <w:t xml:space="preserve">(9)</w:t>
      </w:r>
      <w:r>
        <w:t xml:space="preserve"> </w:t>
      </w:r>
      <w:r>
        <w:t xml:space="preserve">The department shall not reimburse for a service billed by or on behalf of an entity or individual that is not a billing provider.</w:t>
      </w:r>
    </w:p>
    <w:p>
      <w:pPr>
        <w:pStyle w:val="kar_section"/>
      </w:pPr>
      <w:r>
        <w:t xml:space="preserve">Section 3.</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15:080; and</w:t>
      </w:r>
    </w:p>
    <w:p>
      <w:pPr>
        <w:pStyle w:val="kar_subsection"/>
      </w:pPr>
      <w:r>
        <w:t xml:space="preserve">(2)</w:t>
      </w:r>
      <w:r>
        <w:t xml:space="preserve"> </w:t>
      </w:r>
      <w:r>
        <w:t xml:space="preserve">This administrative regulation.</w:t>
      </w:r>
    </w:p>
    <w:p>
      <w:pPr>
        <w:pStyle w:val="kar_section"/>
      </w:pPr>
      <w:r>
        <w:t xml:space="preserve">Section 4.</w:t>
      </w:r>
      <w:r>
        <w:t xml:space="preserve"> </w:t>
      </w:r>
      <w:r>
        <w:t xml:space="preserve">Federal Approval and Federal Financial Participation.</w:t>
      </w:r>
    </w:p>
    <w:p>
      <w:pPr>
        <w:pStyle w:val="kar_subsection"/>
      </w:pPr>
      <w:r>
        <w:t xml:space="preserve">(1)</w:t>
      </w:r>
      <w:r>
        <w:t xml:space="preserve"> </w:t>
      </w:r>
      <w:r>
        <w:t xml:space="preserve">The department's reimbursement for services pursuant to this administrative regulation shall be contingent upon:</w:t>
      </w:r>
    </w:p>
    <w:p>
      <w:pPr>
        <w:pStyle w:val="kar_paragraph"/>
      </w:pPr>
      <w:r>
        <w:t xml:space="preserve">(a)</w:t>
      </w:r>
      <w:r>
        <w:t xml:space="preserve"> </w:t>
      </w:r>
      <w:r>
        <w:t xml:space="preserve">Receipt of federal financial participation for the reimbursement; and</w:t>
      </w:r>
    </w:p>
    <w:p>
      <w:pPr>
        <w:pStyle w:val="kar_paragraph"/>
      </w:pPr>
      <w:r>
        <w:t xml:space="preserve">(b)</w:t>
      </w:r>
      <w:r>
        <w:t xml:space="preserve"> </w:t>
      </w:r>
      <w:r>
        <w:t xml:space="preserve">Centers for Medicare and Medicaid Services' approval for the reimbursement.</w:t>
      </w:r>
    </w:p>
    <w:p>
      <w:pPr>
        <w:pStyle w:val="kar_subsection"/>
      </w:pPr>
      <w:r>
        <w:t xml:space="preserve">(2)</w:t>
      </w:r>
      <w:r>
        <w:t xml:space="preserve"> </w:t>
      </w:r>
      <w:r>
        <w:t xml:space="preserve">The reimbursement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"CDTC Non-Medicare Services Fee Schedule", January 2015,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2515; eff. 10-2-2015; Cert. eff. 8-10-2022.)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7f102a951e40d1" /><Relationship Type="http://schemas.openxmlformats.org/officeDocument/2006/relationships/settings" Target="/word/settings.xml" Id="R6c48f1c5c5034dc2" /></Relationships>
</file>