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f7a192bee4f41d9" /><Relationship Type="http://schemas.openxmlformats.org/package/2006/relationships/metadata/core-properties" Target="/package/services/metadata/core-properties/a2e58602ea7d4563a0c56169da488c6a.psmdcp" Id="R5de6b26113a3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Tuesday, December 18, 2018,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HCR</w:t>
      </w:r>
      <w:r>
        <w:t xml:space="preserve"> 5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Tuesday, December 18, 2018,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5</w:t>
      </w:r>
      <w:r>
        <w:t xml:space="preserve">, </w:t>
      </w:r>
      <w:r>
        <w:t xml:space="preserve">5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5</w:t>
      </w:r>
    </w:p>
    <w:p>
      <w:pPr>
        <w:pStyle w:val="RecordHeading1"/>
      </w:pPr>
      <w:r>
        <w:rPr>
          <w:b/>
        </w:rPr>
        <w:t xml:space="preserve">Committee Meetings</w:t>
      </w:r>
    </w:p>
    <w:p>
      <w:pPr>
        <w:pStyle w:val="RecordBaseCenter"/>
      </w:pPr>
      <w:r>
        <w:rPr>
          <w:b/>
        </w:rPr>
        <w:t xml:space="preserve">Wednesday, December 19</w:t>
      </w:r>
    </w:p>
    <w:p>
      <w:pPr>
        <w:pStyle w:val="RecordBase"/>
        <w:ind w:left="120" w:hanging="120"/>
      </w:pPr>
      <w:r>
        <w:t xml:space="preserve">01:30 PM - Legislative Research Commission, Annex Room 125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