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c9f4025f77456d" /><Relationship Type="http://schemas.openxmlformats.org/package/2006/relationships/metadata/core-properties" Target="/package/services/metadata/core-properties/9f762377e41945eaaa7155def0917cda.psmdcp" Id="Rb4c9507cb09b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August 26, 2022,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12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t xml:space="preserve">CC(S) - </w:t>
      </w:r>
      <w:r>
        <w:rPr>
          <w:b/>
        </w:rPr>
        <w:t xml:space="preserve">SR</w:t>
      </w:r>
      <w:r>
        <w:t xml:space="preserve"> 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12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SB</w:t>
      </w:r>
      <w:r>
        <w:t xml:space="preserve"> 1</w:t>
      </w:r>
      <w:r>
        <w:t xml:space="preserve"> scs</w:t>
      </w:r>
      <w:r>
        <w:t xml:space="preserve">;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12</w:t>
      </w:r>
      <w:r>
        <w:t xml:space="preserve">; </w:t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1</w:t>
      </w:r>
      <w:r>
        <w:t xml:space="preserve"> sfa(2)to cs</w:t>
      </w:r>
    </w:p>
    <w:p>
      <w:pPr>
        <w:pStyle w:val="RecordBase"/>
        <w:ind w:left="0" w:hanging="120"/>
      </w:pPr>
      <w:r>
        <w:rPr>
          <w:b/>
        </w:rPr>
        <w:t xml:space="preserve">Committee Substitute adopted: </w:t>
      </w:r>
      <w:r>
        <w:rPr>
          <w:b/>
        </w:rPr>
        <w:t xml:space="preserve">SB</w:t>
      </w:r>
      <w:r>
        <w:t xml:space="preserve"> 1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August 26, 2022,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CC(H) -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HB</w:t>
      </w:r>
      <w:r>
        <w:t xml:space="preserve"> 1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CC(H) - </w:t>
      </w:r>
      <w:r>
        <w:rPr>
          <w:b/>
        </w:rPr>
        <w:t xml:space="preserve">HR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3</w:t>
      </w:r>
      <w:r>
        <w:t xml:space="preserve">; </w:t>
      </w:r>
      <w:r>
        <w:rPr>
          <w:b/>
        </w:rPr>
        <w:t xml:space="preserve">HR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HCR</w:t>
      </w:r>
      <w:r>
        <w:t xml:space="preserve"> 3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4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;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