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6fffb9fef80436c" /><Relationship Type="http://schemas.openxmlformats.org/package/2006/relationships/metadata/core-properties" Target="/package/services/metadata/core-properties/a399b0faa76042f598be7c4d4458008f.psmdcp" Id="R49c5d6f7b6e5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January 06, 2023, until 2:00 PM, Tuesday, February 07, 2023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</w:t>
      </w:r>
      <w:r>
        <w:t xml:space="preserve">, 2</w:t>
      </w:r>
      <w:r>
        <w:t xml:space="preserve">, 11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</w:t>
      </w:r>
      <w:r>
        <w:t xml:space="preserve">, </w:t>
      </w:r>
      <w:r>
        <w:t xml:space="preserve">48</w:t>
      </w:r>
      <w:r>
        <w:t xml:space="preserve">, </w:t>
      </w:r>
      <w:r>
        <w:t xml:space="preserve">49</w:t>
      </w:r>
      <w:r>
        <w:t xml:space="preserve">, </w:t>
      </w:r>
      <w:r>
        <w:t xml:space="preserve">51</w:t>
      </w:r>
      <w:r>
        <w:t xml:space="preserve">, </w:t>
      </w:r>
      <w:r>
        <w:t xml:space="preserve">52</w:t>
      </w:r>
      <w:r>
        <w:t xml:space="preserve">, </w:t>
      </w:r>
      <w:r>
        <w:t xml:space="preserve">53</w:t>
      </w:r>
      <w:r>
        <w:t xml:space="preserve">, </w:t>
      </w:r>
      <w:r>
        <w:t xml:space="preserve">54</w:t>
      </w:r>
      <w:r>
        <w:t xml:space="preserve">, </w:t>
      </w:r>
      <w:r>
        <w:t xml:space="preserve">55</w:t>
      </w:r>
      <w:r>
        <w:t xml:space="preserve">, </w:t>
      </w:r>
      <w:r>
        <w:t xml:space="preserve">56</w:t>
      </w:r>
      <w:r>
        <w:t xml:space="preserve">, </w:t>
      </w:r>
      <w:r>
        <w:t xml:space="preserve">57</w:t>
      </w:r>
      <w:r>
        <w:t xml:space="preserve">, </w:t>
      </w:r>
      <w:r>
        <w:t xml:space="preserve">58</w:t>
      </w:r>
      <w:r>
        <w:t xml:space="preserve">, </w:t>
      </w:r>
      <w:r>
        <w:t xml:space="preserve">59</w:t>
      </w:r>
      <w:r>
        <w:t xml:space="preserve">; </w:t>
      </w:r>
      <w:r>
        <w:rPr>
          <w:b/>
        </w:rPr>
        <w:t xml:space="preserve">SR</w:t>
      </w:r>
      <w:r>
        <w:t xml:space="preserve"> 35</w:t>
      </w:r>
      <w:r>
        <w:t xml:space="preserve">, </w:t>
      </w:r>
      <w:r>
        <w:t xml:space="preserve">36</w:t>
      </w:r>
      <w:r>
        <w:t xml:space="preserve">, </w:t>
      </w:r>
      <w:r>
        <w:t xml:space="preserve">37</w:t>
      </w:r>
      <w:r>
        <w:t xml:space="preserve">, </w:t>
      </w:r>
      <w:r>
        <w:t xml:space="preserve">38</w:t>
      </w:r>
      <w:r>
        <w:t xml:space="preserve">, </w:t>
      </w:r>
      <w:r>
        <w:t xml:space="preserve">39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11</w:t>
      </w:r>
      <w:r>
        <w:t xml:space="preserve">; </w:t>
      </w:r>
      <w:r>
        <w:t xml:space="preserve">CC(S) -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</w:t>
      </w:r>
      <w:r>
        <w:t xml:space="preserve">, </w:t>
      </w:r>
      <w:r>
        <w:t xml:space="preserve">48</w:t>
      </w:r>
      <w:r>
        <w:t xml:space="preserve">, </w:t>
      </w:r>
      <w:r>
        <w:t xml:space="preserve">49</w:t>
      </w:r>
      <w:r>
        <w:t xml:space="preserve">, </w:t>
      </w:r>
      <w:r>
        <w:t xml:space="preserve">51</w:t>
      </w:r>
      <w:r>
        <w:t xml:space="preserve">, </w:t>
      </w:r>
      <w:r>
        <w:t xml:space="preserve">52</w:t>
      </w:r>
      <w:r>
        <w:t xml:space="preserve">, </w:t>
      </w:r>
      <w:r>
        <w:t xml:space="preserve">53</w:t>
      </w:r>
      <w:r>
        <w:t xml:space="preserve">, </w:t>
      </w:r>
      <w:r>
        <w:t xml:space="preserve">54</w:t>
      </w:r>
      <w:r>
        <w:t xml:space="preserve">, </w:t>
      </w:r>
      <w:r>
        <w:t xml:space="preserve">55</w:t>
      </w:r>
      <w:r>
        <w:t xml:space="preserve">, </w:t>
      </w:r>
      <w:r>
        <w:t xml:space="preserve">56</w:t>
      </w:r>
      <w:r>
        <w:t xml:space="preserve">, </w:t>
      </w:r>
      <w:r>
        <w:t xml:space="preserve">57</w:t>
      </w:r>
      <w:r>
        <w:t xml:space="preserve">, </w:t>
      </w:r>
      <w:r>
        <w:t xml:space="preserve">58</w:t>
      </w:r>
      <w:r>
        <w:t xml:space="preserve">, </w:t>
      </w:r>
      <w:r>
        <w:t xml:space="preserve">59</w:t>
      </w:r>
      <w:r>
        <w:t xml:space="preserve">; </w:t>
      </w:r>
      <w:r>
        <w:rPr>
          <w:b/>
        </w:rPr>
        <w:t xml:space="preserve">SR</w:t>
      </w:r>
      <w:r>
        <w:t xml:space="preserve"> 35</w:t>
      </w:r>
      <w:r>
        <w:t xml:space="preserve">, </w:t>
      </w:r>
      <w:r>
        <w:t xml:space="preserve">36</w:t>
      </w:r>
      <w:r>
        <w:t xml:space="preserve">, </w:t>
      </w:r>
      <w:r>
        <w:t xml:space="preserve">37</w:t>
      </w:r>
      <w:r>
        <w:t xml:space="preserve">, </w:t>
      </w:r>
      <w:r>
        <w:t xml:space="preserve">38</w:t>
      </w:r>
      <w:r>
        <w:t xml:space="preserve">, </w:t>
      </w:r>
      <w:r>
        <w:t xml:space="preserve">39</w:t>
      </w:r>
    </w:p>
    <w:p>
      <w:pPr>
        <w:pStyle w:val="RecordBase"/>
        <w:ind w:left="0" w:hanging="120"/>
      </w:pPr>
      <w:r>
        <w:rPr>
          <w:b/>
        </w:rPr>
        <w:t xml:space="preserve">2nd reading: </w:t>
      </w:r>
      <w:r>
        <w:t xml:space="preserve">CC(S) -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11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CC(S) -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11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CC(S) - </w:t>
      </w:r>
      <w:r>
        <w:rPr>
          <w:b/>
        </w:rPr>
        <w:t xml:space="preserve">HB</w:t>
      </w:r>
      <w:r>
        <w:t xml:space="preserve"> 1</w:t>
      </w:r>
      <w:r>
        <w:t xml:space="preserve"> to CC(S)</w:t>
      </w:r>
      <w:r>
        <w:t xml:space="preserve">, </w:t>
      </w:r>
      <w:r>
        <w:t xml:space="preserve">2</w:t>
      </w:r>
      <w:r>
        <w:t xml:space="preserve"> to CC(S)</w:t>
      </w:r>
      <w:r>
        <w:t xml:space="preserve">, </w:t>
      </w:r>
      <w:r>
        <w:t xml:space="preserve">11</w:t>
      </w:r>
      <w:r>
        <w:t xml:space="preserve"> to CC(S)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30</w:t>
      </w:r>
      <w:r>
        <w:t xml:space="preserve">, </w:t>
      </w:r>
      <w:r>
        <w:t xml:space="preserve">31</w:t>
      </w:r>
      <w:r>
        <w:t xml:space="preserve">; </w:t>
      </w:r>
      <w:r>
        <w:rPr>
          <w:b/>
        </w:rPr>
        <w:t xml:space="preserve">SR</w:t>
      </w:r>
      <w:r>
        <w:t xml:space="preserve"> 14</w:t>
      </w:r>
      <w:r>
        <w:t xml:space="preserve">, </w:t>
      </w:r>
      <w:r>
        <w:t xml:space="preserve">26</w:t>
      </w:r>
      <w:r>
        <w:t xml:space="preserve">, </w:t>
      </w:r>
      <w:r>
        <w:t xml:space="preserve">28</w:t>
      </w:r>
      <w:r>
        <w:t xml:space="preserve">, </w:t>
      </w:r>
      <w:r>
        <w:t xml:space="preserve">29</w:t>
      </w:r>
      <w:r>
        <w:t xml:space="preserve">, </w:t>
      </w:r>
      <w:r>
        <w:t xml:space="preserve">32</w:t>
      </w:r>
      <w:r>
        <w:t xml:space="preserve">, </w:t>
      </w:r>
      <w:r>
        <w:t xml:space="preserve">38</w:t>
      </w:r>
      <w:r>
        <w:t xml:space="preserve">, </w:t>
      </w:r>
      <w:r>
        <w:t xml:space="preserve">39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10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January 06, 2023, until 2:00 PM, Tuesday, February 07, 2023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10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HB</w:t>
      </w:r>
      <w:r>
        <w:t xml:space="preserve"> 130</w:t>
      </w:r>
      <w:r>
        <w:t xml:space="preserve">, </w:t>
      </w:r>
      <w:r>
        <w:t xml:space="preserve">131</w:t>
      </w:r>
      <w:r>
        <w:t xml:space="preserve">, </w:t>
      </w:r>
      <w:r>
        <w:t xml:space="preserve">132</w:t>
      </w:r>
      <w:r>
        <w:t xml:space="preserve">, </w:t>
      </w:r>
      <w:r>
        <w:t xml:space="preserve">133</w:t>
      </w:r>
      <w:r>
        <w:t xml:space="preserve">, </w:t>
      </w:r>
      <w:r>
        <w:t xml:space="preserve">134</w:t>
      </w:r>
      <w:r>
        <w:t xml:space="preserve">, </w:t>
      </w:r>
      <w:r>
        <w:t xml:space="preserve">135</w:t>
      </w:r>
      <w:r>
        <w:t xml:space="preserve">, </w:t>
      </w:r>
      <w:r>
        <w:t xml:space="preserve">136</w:t>
      </w:r>
      <w:r>
        <w:t xml:space="preserve">, </w:t>
      </w:r>
      <w:r>
        <w:t xml:space="preserve">137</w:t>
      </w:r>
      <w:r>
        <w:t xml:space="preserve">, </w:t>
      </w:r>
      <w:r>
        <w:t xml:space="preserve">138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CC(H) - </w:t>
      </w:r>
      <w:r>
        <w:rPr>
          <w:b/>
        </w:rPr>
        <w:t xml:space="preserve">HB</w:t>
      </w:r>
      <w:r>
        <w:t xml:space="preserve"> 130</w:t>
      </w:r>
      <w:r>
        <w:t xml:space="preserve">, </w:t>
      </w:r>
      <w:r>
        <w:t xml:space="preserve">131</w:t>
      </w:r>
      <w:r>
        <w:t xml:space="preserve">, </w:t>
      </w:r>
      <w:r>
        <w:t xml:space="preserve">132</w:t>
      </w:r>
      <w:r>
        <w:t xml:space="preserve">, </w:t>
      </w:r>
      <w:r>
        <w:t xml:space="preserve">133</w:t>
      </w:r>
      <w:r>
        <w:t xml:space="preserve">, </w:t>
      </w:r>
      <w:r>
        <w:t xml:space="preserve">134</w:t>
      </w:r>
      <w:r>
        <w:t xml:space="preserve">, </w:t>
      </w:r>
      <w:r>
        <w:t xml:space="preserve">135</w:t>
      </w:r>
      <w:r>
        <w:t xml:space="preserve">, </w:t>
      </w:r>
      <w:r>
        <w:t xml:space="preserve">136</w:t>
      </w:r>
      <w:r>
        <w:t xml:space="preserve">, </w:t>
      </w:r>
      <w:r>
        <w:t xml:space="preserve">137</w:t>
      </w:r>
      <w:r>
        <w:t xml:space="preserve">, </w:t>
      </w:r>
      <w:r>
        <w:t xml:space="preserve">138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141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HCR</w:t>
      </w:r>
      <w:r>
        <w:t xml:space="preserve"> 14</w:t>
      </w:r>
      <w:r>
        <w:t xml:space="preserve">; </w:t>
      </w:r>
      <w:r>
        <w:rPr>
          <w:b/>
        </w:rPr>
        <w:t xml:space="preserve">HR</w:t>
      </w:r>
      <w:r>
        <w:t xml:space="preserve"> 15</w:t>
      </w:r>
      <w:r>
        <w:t xml:space="preserve">, </w:t>
      </w:r>
      <w:r>
        <w:t xml:space="preserve">17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CC(H) - </w:t>
      </w:r>
      <w:r>
        <w:rPr>
          <w:b/>
        </w:rPr>
        <w:t xml:space="preserve">HCR</w:t>
      </w:r>
      <w:r>
        <w:t xml:space="preserve"> 14</w:t>
      </w:r>
      <w:r>
        <w:t xml:space="preserve">; </w:t>
      </w:r>
      <w:r>
        <w:rPr>
          <w:b/>
        </w:rPr>
        <w:t xml:space="preserve">HR</w:t>
      </w:r>
      <w:r>
        <w:t xml:space="preserve"> 15</w:t>
      </w:r>
      <w:r>
        <w:t xml:space="preserve">, </w:t>
      </w:r>
      <w:r>
        <w:t xml:space="preserve">17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14</w:t>
      </w:r>
      <w:r>
        <w:t xml:space="preserve">; </w:t>
      </w:r>
      <w:r>
        <w:rPr>
          <w:b/>
        </w:rPr>
        <w:t xml:space="preserve">HR</w:t>
      </w:r>
      <w:r>
        <w:t xml:space="preserve"> 15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10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11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14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10</w:t>
      </w:r>
      <w:r>
        <w:t xml:space="preserve">, 15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30</w:t>
      </w:r>
      <w:r>
        <w:t xml:space="preserve">, 31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4</w:t>
      </w:r>
      <w:r>
        <w:t xml:space="preserve">, 6</w:t>
      </w:r>
      <w:r>
        <w:t xml:space="preserve">, 10</w:t>
      </w:r>
      <w:r>
        <w:t xml:space="preserve">, 14</w:t>
      </w:r>
      <w:r>
        <w:t xml:space="preserve">, 15</w:t>
      </w:r>
      <w:r>
        <w:t xml:space="preserve">, 26</w:t>
      </w:r>
      <w:r>
        <w:t xml:space="preserve">, 28</w:t>
      </w:r>
      <w:r>
        <w:t xml:space="preserve">, 29</w:t>
      </w:r>
      <w:r>
        <w:t xml:space="preserve">, 32</w:t>
      </w:r>
      <w:r>
        <w:t xml:space="preserve">, 38</w:t>
      </w:r>
      <w:r>
        <w:t xml:space="preserve">, 39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10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Tuesday, February 7</w:t>
      </w:r>
    </w:p>
    <w:p>
      <w:pPr>
        <w:pStyle w:val="RecordBase"/>
        <w:ind w:left="120" w:hanging="120"/>
      </w:pPr>
      <w:r>
        <w:t xml:space="preserve">08:00 AM - Education (H), Annex Room 154</w:t>
      </w:r>
    </w:p>
    <w:p>
      <w:pPr>
        <w:pStyle w:val="RecordBase"/>
        <w:ind w:left="120" w:hanging="120"/>
      </w:pPr>
      <w:r>
        <w:t xml:space="preserve">09:00 AM - Families &amp; Children (S), Annex Room 129</w:t>
      </w:r>
    </w:p>
    <w:p>
      <w:pPr>
        <w:pStyle w:val="RecordBase"/>
        <w:ind w:left="120" w:hanging="120"/>
      </w:pPr>
      <w:r>
        <w:t xml:space="preserve">10:00 AM - Veterans, Military Affairs, &amp; Public Protection (H), Annex Room 169</w:t>
      </w:r>
    </w:p>
    <w:p>
      <w:pPr>
        <w:pStyle w:val="RecordBase"/>
        <w:ind w:left="120" w:hanging="120"/>
      </w:pPr>
      <w:r>
        <w:t xml:space="preserve">10:00 AM - Appropriations &amp; Revenue (H), Annex Room 149</w:t>
      </w:r>
    </w:p>
    <w:p>
      <w:pPr>
        <w:pStyle w:val="RecordBase"/>
        <w:ind w:left="120" w:hanging="120"/>
      </w:pPr>
      <w:r>
        <w:t xml:space="preserve">10:00 AM - Licensing &amp; Occupations (S), Annex Room 131</w:t>
      </w:r>
    </w:p>
    <w:p>
      <w:pPr>
        <w:pStyle w:val="RecordBase"/>
        <w:ind w:left="120" w:hanging="120"/>
      </w:pPr>
      <w:r>
        <w:t xml:space="preserve">11:00 AM - Agriculture (S), Annex Room 129</w:t>
      </w:r>
    </w:p>
    <w:p>
      <w:pPr>
        <w:pStyle w:val="RecordBase"/>
        <w:ind w:left="120" w:hanging="120"/>
      </w:pPr>
      <w:r>
        <w:t xml:space="preserve">12:00 PM - Transportation (H), Annex Room 154</w:t>
      </w:r>
    </w:p>
    <w:p>
      <w:pPr>
        <w:pStyle w:val="RecordBase"/>
        <w:ind w:left="120" w:hanging="120"/>
      </w:pPr>
      <w:r>
        <w:t xml:space="preserve">12:00 PM - BR Sub. on Primary &amp; Secondary Ed &amp; Workforce Dev (H), Annex Room 171</w:t>
      </w:r>
    </w:p>
    <w:p>
      <w:pPr>
        <w:pStyle w:val="RecordBase"/>
        <w:ind w:left="120" w:hanging="120"/>
      </w:pPr>
      <w:r>
        <w:t xml:space="preserve">12:00 PM - BR Sub. on Justice, Public Safety, &amp; Judiciary (H), Annex Room 169</w:t>
      </w:r>
    </w:p>
    <w:p>
      <w:pPr>
        <w:pStyle w:val="RecordBase"/>
        <w:ind w:left="120" w:hanging="120"/>
      </w:pPr>
      <w:r>
        <w:t xml:space="preserve">12:00 PM - Banking &amp; Insurance (S), Annex Room 131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33</w:t>
      </w:r>
      <w:r>
        <w:t xml:space="preserve">, 39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35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24</w:t>
      </w:r>
      <w:r>
        <w:t xml:space="preserve">, 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13</w:t>
      </w:r>
      <w:r>
        <w:t xml:space="preserve">, 26</w:t>
      </w:r>
      <w:r>
        <w:t xml:space="preserve">, 27</w:t>
      </w:r>
      <w:r>
        <w:t xml:space="preserve">, 29</w:t>
      </w:r>
      <w:r>
        <w:t xml:space="preserve">, 36</w:t>
      </w:r>
      <w:r>
        <w:t xml:space="preserve">, 37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</w:t>
      </w:r>
      <w:r>
        <w:t xml:space="preserve">, 40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</w:t>
      </w:r>
      <w:r>
        <w:t xml:space="preserve">, 28</w:t>
      </w:r>
      <w:r>
        <w:t xml:space="preserve">; </w:t>
      </w:r>
      <w:r>
        <w:rPr>
          <w:b/>
        </w:rPr>
        <w:t xml:space="preserve">SJR</w:t>
      </w:r>
      <w:r>
        <w:t xml:space="preserve"> 12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20</w:t>
      </w:r>
      <w:r>
        <w:t xml:space="preserve">, 34</w:t>
      </w:r>
      <w:r>
        <w:t xml:space="preserve">, 50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; </w:t>
      </w:r>
      <w:r>
        <w:rPr>
          <w:b/>
        </w:rPr>
        <w:t xml:space="preserve">SJR</w:t>
      </w:r>
      <w:r>
        <w:t xml:space="preserve"> 5</w:t>
      </w:r>
      <w:r>
        <w:t xml:space="preserve">, 27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41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; </w:t>
      </w:r>
      <w:r>
        <w:rPr>
          <w:b/>
        </w:rPr>
        <w:t xml:space="preserve">SB</w:t>
      </w:r>
      <w:r>
        <w:t xml:space="preserve"> 10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