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67eac8e24824395" /><Relationship Type="http://schemas.openxmlformats.org/package/2006/relationships/metadata/core-properties" Target="/package/services/metadata/core-properties/193bd3efceca4326b793c8093cdaa5ec.psmdcp" Id="Rcbae6ecb4111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Thursday, January 09, 2025, until 9:00 AM, Friday, January 10, 2025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SB</w:t>
      </w:r>
      <w:r>
        <w:t xml:space="preserve"> 63</w:t>
      </w:r>
      <w:r>
        <w:t xml:space="preserve">, </w:t>
      </w:r>
      <w:r>
        <w:t xml:space="preserve">64</w:t>
      </w:r>
      <w:r>
        <w:t xml:space="preserve">, </w:t>
      </w:r>
      <w:r>
        <w:t xml:space="preserve">66</w:t>
      </w:r>
      <w:r>
        <w:t xml:space="preserve">, </w:t>
      </w:r>
      <w:r>
        <w:t xml:space="preserve">67</w:t>
      </w:r>
      <w:r>
        <w:t xml:space="preserve">, </w:t>
      </w:r>
      <w:r>
        <w:t xml:space="preserve">68</w:t>
      </w:r>
      <w:r>
        <w:t xml:space="preserve">, </w:t>
      </w:r>
      <w:r>
        <w:t xml:space="preserve">69</w:t>
      </w:r>
      <w:r>
        <w:t xml:space="preserve">, </w:t>
      </w:r>
      <w:r>
        <w:t xml:space="preserve">70</w:t>
      </w:r>
      <w:r>
        <w:t xml:space="preserve">, </w:t>
      </w:r>
      <w:r>
        <w:t xml:space="preserve">71</w:t>
      </w:r>
      <w:r>
        <w:t xml:space="preserve">, </w:t>
      </w:r>
      <w:r>
        <w:t xml:space="preserve">72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  <w:r>
        <w:t xml:space="preserve">, </w:t>
      </w:r>
      <w:r>
        <w:t xml:space="preserve">23</w:t>
      </w:r>
      <w:r>
        <w:t xml:space="preserve">; </w:t>
      </w:r>
      <w:r>
        <w:rPr>
          <w:b/>
        </w:rPr>
        <w:t xml:space="preserve">SR</w:t>
      </w:r>
      <w:r>
        <w:t xml:space="preserve"> 21</w:t>
      </w:r>
      <w:r>
        <w:t xml:space="preserve">, </w:t>
      </w:r>
      <w:r>
        <w:t xml:space="preserve">22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A&amp;R(S) - </w:t>
      </w:r>
      <w:r>
        <w:rPr>
          <w:b/>
        </w:rPr>
        <w:t xml:space="preserve">SB</w:t>
      </w:r>
      <w:r>
        <w:t xml:space="preserve"> 11</w:t>
      </w:r>
      <w:r>
        <w:t xml:space="preserve">, </w:t>
      </w:r>
      <w:r>
        <w:t xml:space="preserve">44</w:t>
      </w:r>
      <w:r>
        <w:t xml:space="preserve">, </w:t>
      </w:r>
      <w:r>
        <w:t xml:space="preserve">48</w:t>
      </w:r>
      <w:r>
        <w:t xml:space="preserve">, </w:t>
      </w:r>
      <w:r>
        <w:t xml:space="preserve">53</w:t>
      </w:r>
      <w:r>
        <w:t xml:space="preserve">, </w:t>
      </w:r>
      <w:r>
        <w:t xml:space="preserve">55</w:t>
      </w:r>
      <w:r>
        <w:t xml:space="preserve">; </w:t>
      </w:r>
      <w:r>
        <w:t xml:space="preserve">Ag(S) - </w:t>
      </w:r>
      <w:r>
        <w:rPr>
          <w:b/>
        </w:rPr>
        <w:t xml:space="preserve">SB</w:t>
      </w:r>
      <w:r>
        <w:t xml:space="preserve"> 28</w:t>
      </w:r>
      <w:r>
        <w:t xml:space="preserve">; </w:t>
      </w:r>
      <w:r>
        <w:t xml:space="preserve">B&amp;I(S) - </w:t>
      </w:r>
      <w:r>
        <w:rPr>
          <w:b/>
        </w:rPr>
        <w:t xml:space="preserve">SB</w:t>
      </w:r>
      <w:r>
        <w:t xml:space="preserve"> 12</w:t>
      </w:r>
      <w:r>
        <w:t xml:space="preserve">, </w:t>
      </w:r>
      <w:r>
        <w:t xml:space="preserve">18</w:t>
      </w:r>
      <w:r>
        <w:t xml:space="preserve">, </w:t>
      </w:r>
      <w:r>
        <w:t xml:space="preserve">24</w:t>
      </w:r>
      <w:r>
        <w:t xml:space="preserve">; </w:t>
      </w:r>
      <w:r>
        <w:t xml:space="preserve">CC(S) - </w:t>
      </w:r>
      <w:r>
        <w:rPr>
          <w:b/>
        </w:rPr>
        <w:t xml:space="preserve">SB</w:t>
      </w:r>
      <w:r>
        <w:t xml:space="preserve"> 63</w:t>
      </w:r>
      <w:r>
        <w:t xml:space="preserve">, </w:t>
      </w:r>
      <w:r>
        <w:t xml:space="preserve">64</w:t>
      </w:r>
      <w:r>
        <w:t xml:space="preserve">, </w:t>
      </w:r>
      <w:r>
        <w:t xml:space="preserve">66</w:t>
      </w:r>
      <w:r>
        <w:t xml:space="preserve">, </w:t>
      </w:r>
      <w:r>
        <w:t xml:space="preserve">67</w:t>
      </w:r>
      <w:r>
        <w:t xml:space="preserve">, </w:t>
      </w:r>
      <w:r>
        <w:t xml:space="preserve">68</w:t>
      </w:r>
      <w:r>
        <w:t xml:space="preserve">, </w:t>
      </w:r>
      <w:r>
        <w:t xml:space="preserve">69</w:t>
      </w:r>
      <w:r>
        <w:t xml:space="preserve">, </w:t>
      </w:r>
      <w:r>
        <w:t xml:space="preserve">70</w:t>
      </w:r>
      <w:r>
        <w:t xml:space="preserve">, </w:t>
      </w:r>
      <w:r>
        <w:t xml:space="preserve">71</w:t>
      </w:r>
      <w:r>
        <w:t xml:space="preserve">, </w:t>
      </w:r>
      <w:r>
        <w:t xml:space="preserve">72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  <w:r>
        <w:t xml:space="preserve">, </w:t>
      </w:r>
      <w:r>
        <w:t xml:space="preserve">23</w:t>
      </w:r>
      <w:r>
        <w:t xml:space="preserve">; </w:t>
      </w:r>
      <w:r>
        <w:rPr>
          <w:b/>
        </w:rPr>
        <w:t xml:space="preserve">SR</w:t>
      </w:r>
      <w:r>
        <w:t xml:space="preserve"> 21</w:t>
      </w:r>
      <w:r>
        <w:t xml:space="preserve">, </w:t>
      </w:r>
      <w:r>
        <w:t xml:space="preserve">22</w:t>
      </w:r>
      <w:r>
        <w:t xml:space="preserve">; </w:t>
      </w:r>
      <w:r>
        <w:rPr>
          <w:b/>
        </w:rPr>
        <w:t xml:space="preserve">HB</w:t>
      </w:r>
      <w:r>
        <w:t xml:space="preserve"> 1</w:t>
      </w:r>
      <w:r>
        <w:t xml:space="preserve">; </w:t>
      </w:r>
      <w:r>
        <w:t xml:space="preserve">Ed(S) - </w:t>
      </w:r>
      <w:r>
        <w:rPr>
          <w:b/>
        </w:rPr>
        <w:t xml:space="preserve">SB</w:t>
      </w:r>
      <w:r>
        <w:t xml:space="preserve"> 19</w:t>
      </w:r>
      <w:r>
        <w:t xml:space="preserve">, </w:t>
      </w:r>
      <w:r>
        <w:t xml:space="preserve">40</w:t>
      </w:r>
      <w:r>
        <w:t xml:space="preserve">, </w:t>
      </w:r>
      <w:r>
        <w:t xml:space="preserve">45</w:t>
      </w:r>
      <w:r>
        <w:t xml:space="preserve">, </w:t>
      </w:r>
      <w:r>
        <w:t xml:space="preserve">52</w:t>
      </w:r>
      <w:r>
        <w:t xml:space="preserve">; </w:t>
      </w:r>
      <w:r>
        <w:t xml:space="preserve">F&amp;C(S) - </w:t>
      </w:r>
      <w:r>
        <w:rPr>
          <w:b/>
        </w:rPr>
        <w:t xml:space="preserve">SB</w:t>
      </w:r>
      <w:r>
        <w:t xml:space="preserve"> 16</w:t>
      </w:r>
      <w:r>
        <w:t xml:space="preserve">, </w:t>
      </w:r>
      <w:r>
        <w:t xml:space="preserve">30</w:t>
      </w:r>
      <w:r>
        <w:t xml:space="preserve">; </w:t>
      </w:r>
      <w:r>
        <w:rPr>
          <w:b/>
        </w:rPr>
        <w:t xml:space="preserve">SR</w:t>
      </w:r>
      <w:r>
        <w:t xml:space="preserve"> 18</w:t>
      </w:r>
      <w:r>
        <w:t xml:space="preserve">; </w:t>
      </w:r>
      <w:r>
        <w:t xml:space="preserve">HS(S) - </w:t>
      </w:r>
      <w:r>
        <w:rPr>
          <w:b/>
        </w:rPr>
        <w:t xml:space="preserve">SB</w:t>
      </w:r>
      <w:r>
        <w:t xml:space="preserve"> 13</w:t>
      </w:r>
      <w:r>
        <w:t xml:space="preserve">, </w:t>
      </w:r>
      <w:r>
        <w:t xml:space="preserve">14</w:t>
      </w:r>
      <w:r>
        <w:t xml:space="preserve">, </w:t>
      </w:r>
      <w:r>
        <w:t xml:space="preserve">17</w:t>
      </w:r>
      <w:r>
        <w:t xml:space="preserve">, </w:t>
      </w:r>
      <w:r>
        <w:t xml:space="preserve">27</w:t>
      </w:r>
      <w:r>
        <w:t xml:space="preserve">, </w:t>
      </w:r>
      <w:r>
        <w:t xml:space="preserve">41</w:t>
      </w:r>
      <w:r>
        <w:t xml:space="preserve">; </w:t>
      </w:r>
      <w:r>
        <w:t xml:space="preserve">Jud(S) - </w:t>
      </w:r>
      <w:r>
        <w:rPr>
          <w:b/>
        </w:rPr>
        <w:t xml:space="preserve">SB</w:t>
      </w:r>
      <w:r>
        <w:t xml:space="preserve"> 26</w:t>
      </w:r>
      <w:r>
        <w:t xml:space="preserve">, </w:t>
      </w:r>
      <w:r>
        <w:t xml:space="preserve">33</w:t>
      </w:r>
      <w:r>
        <w:t xml:space="preserve">, </w:t>
      </w:r>
      <w:r>
        <w:t xml:space="preserve">39</w:t>
      </w:r>
      <w:r>
        <w:t xml:space="preserve">, </w:t>
      </w:r>
      <w:r>
        <w:t xml:space="preserve">46</w:t>
      </w:r>
      <w:r>
        <w:t xml:space="preserve">, </w:t>
      </w:r>
      <w:r>
        <w:t xml:space="preserve">49</w:t>
      </w:r>
      <w:r>
        <w:t xml:space="preserve">, </w:t>
      </w:r>
      <w:r>
        <w:t xml:space="preserve">51</w:t>
      </w:r>
      <w:r>
        <w:t xml:space="preserve">, </w:t>
      </w:r>
      <w:r>
        <w:t xml:space="preserve">54</w:t>
      </w:r>
      <w:r>
        <w:t xml:space="preserve">, </w:t>
      </w:r>
      <w:r>
        <w:t xml:space="preserve">56</w:t>
      </w:r>
      <w:r>
        <w:t xml:space="preserve">; </w:t>
      </w:r>
      <w:r>
        <w:t xml:space="preserve">L&amp;O(S) - </w:t>
      </w:r>
      <w:r>
        <w:rPr>
          <w:b/>
        </w:rPr>
        <w:t xml:space="preserve">SB</w:t>
      </w:r>
      <w:r>
        <w:t xml:space="preserve"> 22</w:t>
      </w:r>
      <w:r>
        <w:t xml:space="preserve">, </w:t>
      </w:r>
      <w:r>
        <w:t xml:space="preserve">23</w:t>
      </w:r>
      <w:r>
        <w:t xml:space="preserve">, </w:t>
      </w:r>
      <w:r>
        <w:t xml:space="preserve">42</w:t>
      </w:r>
      <w:r>
        <w:t xml:space="preserve">; </w:t>
      </w:r>
      <w:r>
        <w:t xml:space="preserve">StGov(S) - </w:t>
      </w:r>
      <w:r>
        <w:rPr>
          <w:b/>
        </w:rPr>
        <w:t xml:space="preserve">SB</w:t>
      </w:r>
      <w:r>
        <w:t xml:space="preserve"> 29</w:t>
      </w:r>
      <w:r>
        <w:t xml:space="preserve">, </w:t>
      </w:r>
      <w:r>
        <w:t xml:space="preserve">36</w:t>
      </w:r>
      <w:r>
        <w:t xml:space="preserve">, </w:t>
      </w:r>
      <w:r>
        <w:t xml:space="preserve">37</w:t>
      </w:r>
      <w:r>
        <w:t xml:space="preserve">, </w:t>
      </w:r>
      <w:r>
        <w:t xml:space="preserve">126</w:t>
      </w:r>
      <w:r>
        <w:t xml:space="preserve">; </w:t>
      </w:r>
      <w:r>
        <w:t xml:space="preserve">Trans(S) - </w:t>
      </w:r>
      <w:r>
        <w:rPr>
          <w:b/>
        </w:rPr>
        <w:t xml:space="preserve">SB</w:t>
      </w:r>
      <w:r>
        <w:t xml:space="preserve"> 21</w:t>
      </w:r>
      <w:r>
        <w:t xml:space="preserve">, </w:t>
      </w:r>
      <w:r>
        <w:t xml:space="preserve">31</w:t>
      </w:r>
      <w:r>
        <w:t xml:space="preserve">, </w:t>
      </w:r>
      <w:r>
        <w:t xml:space="preserve">38</w:t>
      </w:r>
      <w:r>
        <w:t xml:space="preserve">, </w:t>
      </w:r>
      <w:r>
        <w:t xml:space="preserve">43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  <w:r>
        <w:t xml:space="preserve">; </w:t>
      </w:r>
      <w:r>
        <w:t xml:space="preserve">V,MA&amp;PP(S) - </w:t>
      </w:r>
      <w:r>
        <w:rPr>
          <w:b/>
        </w:rPr>
        <w:t xml:space="preserve">SB</w:t>
      </w:r>
      <w:r>
        <w:t xml:space="preserve"> 32</w:t>
      </w:r>
    </w:p>
    <w:p>
      <w:pPr>
        <w:pStyle w:val="RecordBase"/>
        <w:ind w:left="0" w:hanging="120"/>
      </w:pPr>
      <w:r>
        <w:rPr>
          <w:b/>
        </w:rPr>
        <w:t xml:space="preserve">To Senate Floor: </w:t>
      </w:r>
      <w:r>
        <w:rPr>
          <w:b/>
        </w:rPr>
        <w:t xml:space="preserve">SR</w:t>
      </w:r>
      <w:r>
        <w:t xml:space="preserve"> 6</w:t>
      </w:r>
      <w:r>
        <w:t xml:space="preserve">, </w:t>
      </w:r>
      <w:r>
        <w:t xml:space="preserve">7</w:t>
      </w:r>
      <w:r>
        <w:t xml:space="preserve">, </w:t>
      </w:r>
      <w:r>
        <w:t xml:space="preserve">8</w:t>
      </w:r>
      <w:r>
        <w:t xml:space="preserve">, </w:t>
      </w:r>
      <w:r>
        <w:t xml:space="preserve">9</w:t>
      </w:r>
      <w:r>
        <w:t xml:space="preserve">, </w:t>
      </w:r>
      <w:r>
        <w:t xml:space="preserve">11</w:t>
      </w:r>
      <w:r>
        <w:t xml:space="preserve">, </w:t>
      </w:r>
      <w:r>
        <w:t xml:space="preserve">12</w:t>
      </w:r>
      <w:r>
        <w:t xml:space="preserve">, </w:t>
      </w:r>
      <w:r>
        <w:t xml:space="preserve">13</w:t>
      </w:r>
      <w:r>
        <w:t xml:space="preserve">, </w:t>
      </w:r>
      <w:r>
        <w:t xml:space="preserve">16</w:t>
      </w:r>
      <w:r>
        <w:t xml:space="preserve">, </w:t>
      </w:r>
      <w:r>
        <w:t xml:space="preserve">17</w:t>
      </w:r>
    </w:p>
    <w:p>
      <w:pPr>
        <w:pStyle w:val="RecordBase"/>
        <w:ind w:left="0" w:hanging="120"/>
      </w:pPr>
      <w:r>
        <w:rPr>
          <w:b/>
        </w:rPr>
        <w:t xml:space="preserve">1st Reading: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t xml:space="preserve">CC(S) - </w:t>
      </w:r>
      <w:r>
        <w:rPr>
          <w:b/>
        </w:rPr>
        <w:t xml:space="preserve">HB</w:t>
      </w:r>
      <w:r>
        <w:t xml:space="preserve"> 1</w:t>
      </w:r>
      <w:r>
        <w:t xml:space="preserve"> to CC(S)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HB</w:t>
      </w:r>
      <w:r>
        <w:t xml:space="preserve"> 1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Thursday, January 09, 2025, until 9:00 AM, Friday, January 10, 2025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HB</w:t>
      </w:r>
      <w:r>
        <w:t xml:space="preserve"> 154</w:t>
      </w:r>
      <w:r>
        <w:t xml:space="preserve">, </w:t>
      </w:r>
      <w:r>
        <w:t xml:space="preserve">155</w:t>
      </w:r>
      <w:r>
        <w:t xml:space="preserve">, </w:t>
      </w:r>
      <w:r>
        <w:t xml:space="preserve">156</w:t>
      </w:r>
      <w:r>
        <w:t xml:space="preserve">, </w:t>
      </w:r>
      <w:r>
        <w:t xml:space="preserve">157</w:t>
      </w:r>
      <w:r>
        <w:t xml:space="preserve">, </w:t>
      </w:r>
      <w:r>
        <w:t xml:space="preserve">158</w:t>
      </w:r>
      <w:r>
        <w:t xml:space="preserve">, </w:t>
      </w:r>
      <w:r>
        <w:t xml:space="preserve">159</w:t>
      </w:r>
      <w:r>
        <w:t xml:space="preserve">, </w:t>
      </w:r>
      <w:r>
        <w:t xml:space="preserve">160</w:t>
      </w:r>
      <w:r>
        <w:t xml:space="preserve">, </w:t>
      </w:r>
      <w:r>
        <w:t xml:space="preserve">161</w:t>
      </w:r>
      <w:r>
        <w:t xml:space="preserve">, </w:t>
      </w:r>
      <w:r>
        <w:t xml:space="preserve">162</w:t>
      </w:r>
      <w:r>
        <w:t xml:space="preserve">, </w:t>
      </w:r>
      <w:r>
        <w:t xml:space="preserve">163</w:t>
      </w:r>
      <w:r>
        <w:t xml:space="preserve">, </w:t>
      </w:r>
      <w:r>
        <w:t xml:space="preserve">164</w:t>
      </w:r>
      <w:r>
        <w:t xml:space="preserve">, </w:t>
      </w:r>
      <w:r>
        <w:t xml:space="preserve">165</w:t>
      </w:r>
      <w:r>
        <w:t xml:space="preserve">, </w:t>
      </w:r>
      <w:r>
        <w:t xml:space="preserve">166</w:t>
      </w:r>
      <w:r>
        <w:t xml:space="preserve">, </w:t>
      </w:r>
      <w:r>
        <w:t xml:space="preserve">167</w:t>
      </w:r>
      <w:r>
        <w:t xml:space="preserve">, </w:t>
      </w:r>
      <w:r>
        <w:t xml:space="preserve">168</w:t>
      </w:r>
      <w:r>
        <w:t xml:space="preserve">, </w:t>
      </w:r>
      <w:r>
        <w:t xml:space="preserve">169</w:t>
      </w:r>
      <w:r>
        <w:t xml:space="preserve">, </w:t>
      </w:r>
      <w:r>
        <w:t xml:space="preserve">170</w:t>
      </w:r>
      <w:r>
        <w:t xml:space="preserve">, </w:t>
      </w:r>
      <w:r>
        <w:t xml:space="preserve">171</w:t>
      </w:r>
      <w:r>
        <w:t xml:space="preserve">, </w:t>
      </w:r>
      <w:r>
        <w:t xml:space="preserve">172</w:t>
      </w:r>
      <w:r>
        <w:t xml:space="preserve">, </w:t>
      </w:r>
      <w:r>
        <w:t xml:space="preserve">173</w:t>
      </w:r>
      <w:r>
        <w:t xml:space="preserve">, </w:t>
      </w:r>
      <w:r>
        <w:t xml:space="preserve">174</w:t>
      </w:r>
      <w:r>
        <w:t xml:space="preserve">, </w:t>
      </w:r>
      <w:r>
        <w:t xml:space="preserve">175</w:t>
      </w:r>
      <w:r>
        <w:t xml:space="preserve">, </w:t>
      </w:r>
      <w:r>
        <w:t xml:space="preserve">176</w:t>
      </w:r>
      <w:r>
        <w:t xml:space="preserve">, </w:t>
      </w:r>
      <w:r>
        <w:t xml:space="preserve">177</w:t>
      </w:r>
      <w:r>
        <w:t xml:space="preserve">, </w:t>
      </w:r>
      <w:r>
        <w:t xml:space="preserve">178</w:t>
      </w:r>
      <w:r>
        <w:t xml:space="preserve">, </w:t>
      </w:r>
      <w:r>
        <w:t xml:space="preserve">179</w:t>
      </w:r>
      <w:r>
        <w:t xml:space="preserve">, </w:t>
      </w:r>
      <w:r>
        <w:t xml:space="preserve">180</w:t>
      </w:r>
      <w:r>
        <w:t xml:space="preserve">, </w:t>
      </w:r>
      <w:r>
        <w:t xml:space="preserve">181</w:t>
      </w:r>
      <w:r>
        <w:t xml:space="preserve">, </w:t>
      </w:r>
      <w:r>
        <w:t xml:space="preserve">182</w:t>
      </w:r>
      <w:r>
        <w:t xml:space="preserve">, </w:t>
      </w:r>
      <w:r>
        <w:t xml:space="preserve">183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; </w:t>
      </w:r>
      <w:r>
        <w:rPr>
          <w:b/>
        </w:rPr>
        <w:t xml:space="preserve">HCR</w:t>
      </w:r>
      <w:r>
        <w:t xml:space="preserve"> 12</w:t>
      </w:r>
      <w:r>
        <w:t xml:space="preserve">; </w:t>
      </w:r>
      <w:r>
        <w:rPr>
          <w:b/>
        </w:rPr>
        <w:t xml:space="preserve">HR</w:t>
      </w:r>
      <w:r>
        <w:t xml:space="preserve"> 11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CC(H) - </w:t>
      </w:r>
      <w:r>
        <w:rPr>
          <w:b/>
        </w:rPr>
        <w:t xml:space="preserve">HB</w:t>
      </w:r>
      <w:r>
        <w:t xml:space="preserve"> 154</w:t>
      </w:r>
      <w:r>
        <w:t xml:space="preserve">, </w:t>
      </w:r>
      <w:r>
        <w:t xml:space="preserve">155</w:t>
      </w:r>
      <w:r>
        <w:t xml:space="preserve">, </w:t>
      </w:r>
      <w:r>
        <w:t xml:space="preserve">156</w:t>
      </w:r>
      <w:r>
        <w:t xml:space="preserve">, </w:t>
      </w:r>
      <w:r>
        <w:t xml:space="preserve">157</w:t>
      </w:r>
      <w:r>
        <w:t xml:space="preserve">, </w:t>
      </w:r>
      <w:r>
        <w:t xml:space="preserve">158</w:t>
      </w:r>
      <w:r>
        <w:t xml:space="preserve">, </w:t>
      </w:r>
      <w:r>
        <w:t xml:space="preserve">159</w:t>
      </w:r>
      <w:r>
        <w:t xml:space="preserve">, </w:t>
      </w:r>
      <w:r>
        <w:t xml:space="preserve">160</w:t>
      </w:r>
      <w:r>
        <w:t xml:space="preserve">, </w:t>
      </w:r>
      <w:r>
        <w:t xml:space="preserve">161</w:t>
      </w:r>
      <w:r>
        <w:t xml:space="preserve">, </w:t>
      </w:r>
      <w:r>
        <w:t xml:space="preserve">162</w:t>
      </w:r>
      <w:r>
        <w:t xml:space="preserve">, </w:t>
      </w:r>
      <w:r>
        <w:t xml:space="preserve">163</w:t>
      </w:r>
      <w:r>
        <w:t xml:space="preserve">, </w:t>
      </w:r>
      <w:r>
        <w:t xml:space="preserve">164</w:t>
      </w:r>
      <w:r>
        <w:t xml:space="preserve">, </w:t>
      </w:r>
      <w:r>
        <w:t xml:space="preserve">165</w:t>
      </w:r>
      <w:r>
        <w:t xml:space="preserve">, </w:t>
      </w:r>
      <w:r>
        <w:t xml:space="preserve">166</w:t>
      </w:r>
      <w:r>
        <w:t xml:space="preserve">, </w:t>
      </w:r>
      <w:r>
        <w:t xml:space="preserve">167</w:t>
      </w:r>
      <w:r>
        <w:t xml:space="preserve">, </w:t>
      </w:r>
      <w:r>
        <w:t xml:space="preserve">168</w:t>
      </w:r>
      <w:r>
        <w:t xml:space="preserve">, </w:t>
      </w:r>
      <w:r>
        <w:t xml:space="preserve">169</w:t>
      </w:r>
      <w:r>
        <w:t xml:space="preserve">, </w:t>
      </w:r>
      <w:r>
        <w:t xml:space="preserve">170</w:t>
      </w:r>
      <w:r>
        <w:t xml:space="preserve">, </w:t>
      </w:r>
      <w:r>
        <w:t xml:space="preserve">171</w:t>
      </w:r>
      <w:r>
        <w:t xml:space="preserve">, </w:t>
      </w:r>
      <w:r>
        <w:t xml:space="preserve">172</w:t>
      </w:r>
      <w:r>
        <w:t xml:space="preserve">, </w:t>
      </w:r>
      <w:r>
        <w:t xml:space="preserve">173</w:t>
      </w:r>
      <w:r>
        <w:t xml:space="preserve">, </w:t>
      </w:r>
      <w:r>
        <w:t xml:space="preserve">174</w:t>
      </w:r>
      <w:r>
        <w:t xml:space="preserve">, </w:t>
      </w:r>
      <w:r>
        <w:t xml:space="preserve">175</w:t>
      </w:r>
      <w:r>
        <w:t xml:space="preserve">, </w:t>
      </w:r>
      <w:r>
        <w:t xml:space="preserve">176</w:t>
      </w:r>
      <w:r>
        <w:t xml:space="preserve">, </w:t>
      </w:r>
      <w:r>
        <w:t xml:space="preserve">177</w:t>
      </w:r>
      <w:r>
        <w:t xml:space="preserve">, </w:t>
      </w:r>
      <w:r>
        <w:t xml:space="preserve">178</w:t>
      </w:r>
      <w:r>
        <w:t xml:space="preserve">, </w:t>
      </w:r>
      <w:r>
        <w:t xml:space="preserve">179</w:t>
      </w:r>
      <w:r>
        <w:t xml:space="preserve">, </w:t>
      </w:r>
      <w:r>
        <w:t xml:space="preserve">180</w:t>
      </w:r>
      <w:r>
        <w:t xml:space="preserve">, </w:t>
      </w:r>
      <w:r>
        <w:t xml:space="preserve">181</w:t>
      </w:r>
      <w:r>
        <w:t xml:space="preserve">, </w:t>
      </w:r>
      <w:r>
        <w:t xml:space="preserve">182</w:t>
      </w:r>
      <w:r>
        <w:t xml:space="preserve">, </w:t>
      </w:r>
      <w:r>
        <w:t xml:space="preserve">183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; </w:t>
      </w:r>
      <w:r>
        <w:rPr>
          <w:b/>
        </w:rPr>
        <w:t xml:space="preserve">HCR</w:t>
      </w:r>
      <w:r>
        <w:t xml:space="preserve"> 12</w:t>
      </w:r>
      <w:r>
        <w:t xml:space="preserve">; </w:t>
      </w:r>
      <w:r>
        <w:rPr>
          <w:b/>
        </w:rPr>
        <w:t xml:space="preserve">HR</w:t>
      </w:r>
      <w:r>
        <w:t xml:space="preserve"> 11</w:t>
      </w:r>
    </w:p>
    <w:p>
      <w:pPr>
        <w:pStyle w:val="RecordBase"/>
        <w:ind w:left="0" w:hanging="120"/>
      </w:pPr>
      <w:r>
        <w:rPr>
          <w:b/>
        </w:rPr>
        <w:t xml:space="preserve">To House Floor: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CC(H) -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0" w:hanging="120"/>
      </w:pPr>
      <w:r>
        <w:rPr>
          <w:b/>
        </w:rPr>
        <w:t xml:space="preserve">Floor amendment ruled not germane: </w:t>
      </w:r>
      <w:r>
        <w:rPr>
          <w:b/>
        </w:rPr>
        <w:t xml:space="preserve">HB</w:t>
      </w:r>
      <w:r>
        <w:t xml:space="preserve"> 1</w:t>
      </w:r>
      <w:r>
        <w:t xml:space="preserve"> hfa(11)</w:t>
      </w:r>
    </w:p>
    <w:p>
      <w:pPr>
        <w:pStyle w:val="RecordBase"/>
        <w:ind w:left="0" w:hanging="120"/>
      </w:pPr>
      <w:r>
        <w:rPr>
          <w:b/>
        </w:rPr>
        <w:t xml:space="preserve">Floor amendment defeated: </w:t>
      </w:r>
      <w:r>
        <w:rPr>
          <w:b/>
        </w:rPr>
        <w:t xml:space="preserve">HB</w:t>
      </w:r>
      <w:r>
        <w:t xml:space="preserve"> 1</w:t>
      </w:r>
      <w:r>
        <w:t xml:space="preserve"> hfa(8)</w:t>
      </w:r>
    </w:p>
    <w:p>
      <w:pPr>
        <w:pStyle w:val="RecordBase"/>
        <w:ind w:left="0" w:hanging="120"/>
      </w:pPr>
      <w:r>
        <w:rPr>
          <w:b/>
        </w:rPr>
        <w:t xml:space="preserve">Floor amendment ruled out of order: </w:t>
      </w:r>
      <w:r>
        <w:rPr>
          <w:b/>
        </w:rPr>
        <w:t xml:space="preserve">HB</w:t>
      </w:r>
      <w:r>
        <w:t xml:space="preserve"> 1</w:t>
      </w:r>
      <w:r>
        <w:t xml:space="preserve"> hfa(5)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1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12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22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44</w:t>
      </w:r>
      <w:r>
        <w:t xml:space="preserve">, 48</w:t>
      </w:r>
      <w:r>
        <w:t xml:space="preserve">, 53</w:t>
      </w:r>
      <w:r>
        <w:t xml:space="preserve">, 55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12</w:t>
      </w:r>
      <w:r>
        <w:t xml:space="preserve">, 18</w:t>
      </w:r>
      <w:r>
        <w:t xml:space="preserve">, 24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19</w:t>
      </w:r>
      <w:r>
        <w:t xml:space="preserve">, 40</w:t>
      </w:r>
      <w:r>
        <w:t xml:space="preserve">, 45</w:t>
      </w:r>
      <w:r>
        <w:t xml:space="preserve">, 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16</w:t>
      </w:r>
      <w:r>
        <w:t xml:space="preserve">, 30</w:t>
      </w:r>
      <w:r>
        <w:t xml:space="preserve">; </w:t>
      </w:r>
      <w:r>
        <w:rPr>
          <w:b/>
        </w:rPr>
        <w:t xml:space="preserve">SR</w:t>
      </w:r>
      <w:r>
        <w:t xml:space="preserve"> 18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13</w:t>
      </w:r>
      <w:r>
        <w:t xml:space="preserve">, 14</w:t>
      </w:r>
      <w:r>
        <w:t xml:space="preserve">, 17</w:t>
      </w:r>
      <w:r>
        <w:t xml:space="preserve">, 27</w:t>
      </w:r>
      <w:r>
        <w:t xml:space="preserve">, 41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26</w:t>
      </w:r>
      <w:r>
        <w:t xml:space="preserve">, 33</w:t>
      </w:r>
      <w:r>
        <w:t xml:space="preserve">, 39</w:t>
      </w:r>
      <w:r>
        <w:t xml:space="preserve">, 46</w:t>
      </w:r>
      <w:r>
        <w:t xml:space="preserve">, 49</w:t>
      </w:r>
      <w:r>
        <w:t xml:space="preserve">, 51</w:t>
      </w:r>
      <w:r>
        <w:t xml:space="preserve">, 54</w:t>
      </w:r>
      <w:r>
        <w:t xml:space="preserve">, 56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 &amp; OCCUPATIONS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22</w:t>
      </w:r>
      <w:r>
        <w:t xml:space="preserve">, 23</w:t>
      </w:r>
      <w:r>
        <w:t xml:space="preserve">, 42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29</w:t>
      </w:r>
      <w:r>
        <w:t xml:space="preserve">, 36</w:t>
      </w:r>
      <w:r>
        <w:t xml:space="preserve">, 37</w:t>
      </w:r>
      <w:r>
        <w:t xml:space="preserve">, 126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21</w:t>
      </w:r>
      <w:r>
        <w:t xml:space="preserve">, 31</w:t>
      </w:r>
      <w:r>
        <w:t xml:space="preserve">, 38</w:t>
      </w:r>
      <w:r>
        <w:t xml:space="preserve">, 43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32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