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d5ca9dcd3643f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42:010.</w:t>
      </w:r>
      <w:r>
        <w:t xml:space="preserve"> </w:t>
      </w:r>
      <w:r>
        <w:t xml:space="preserve">Goals for massage therapy sessions.</w:t>
      </w:r>
    </w:p>
    <w:p>
      <w:pPr>
        <w:pStyle w:val="kar_markup_metadata"/>
      </w:pPr>
      <w:r>
        <w:t xml:space="preserve">RELATES TO: </w:t>
      </w:r>
      <w:r>
        <w:t xml:space="preserve">KRS 309.350(7), 309.355(3)</w:t>
      </w:r>
    </w:p>
    <w:p>
      <w:pPr>
        <w:pStyle w:val="kar_markup_metadata"/>
      </w:pPr>
      <w:r>
        <w:t xml:space="preserve">STATUTORY AUTHORITY: </w:t>
      </w:r>
      <w:r>
        <w:t xml:space="preserve">KRS 309.355(3)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KRS 309.355(3) requires the board to promulgate administrative regulations setting standards of practice. This administrative regulation establishes the goals of massage therapy and possible means of achieving these goals.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 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Goals for massage therapy may include: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Maintaining health;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Providing relaxation;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Preserving or increasing functional capacity;</w:t>
      </w:r>
    </w:p>
    <w:p>
      <w:pPr>
        <w:pStyle w:val="kar_paragraph"/>
      </w:pPr>
      <w:r>
        <w:t xml:space="preserve">(d)</w:t>
      </w:r>
      <w:r>
        <w:t xml:space="preserve"> </w:t>
      </w:r>
      <w:r>
        <w:t xml:space="preserve">Diminishing soft-tissue pain arising from stress, anxiety, adhesions, and overuses; and</w:t>
      </w:r>
    </w:p>
    <w:p>
      <w:pPr>
        <w:pStyle w:val="kar_paragraph"/>
      </w:pPr>
      <w:r>
        <w:t xml:space="preserve">(e)</w:t>
      </w:r>
      <w:r>
        <w:t xml:space="preserve"> </w:t>
      </w:r>
      <w:r>
        <w:t xml:space="preserve">Providing treatment that is professionally appropriate for the client.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In order to reach these objectives, the massage therapist shall: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Provide consultation with a client or a referring professional on soft-tissue issues;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Evaluate clients for the appropriate approaches for each session;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Plan sessions;</w:t>
      </w:r>
    </w:p>
    <w:p>
      <w:pPr>
        <w:pStyle w:val="kar_paragraph"/>
      </w:pPr>
      <w:r>
        <w:t xml:space="preserve">(d)</w:t>
      </w:r>
      <w:r>
        <w:t xml:space="preserve"> </w:t>
      </w:r>
      <w:r>
        <w:t xml:space="preserve">Provide direct treatment; and</w:t>
      </w:r>
    </w:p>
    <w:p>
      <w:pPr>
        <w:pStyle w:val="kar_paragraph"/>
      </w:pPr>
      <w:r>
        <w:t xml:space="preserve">(e)</w:t>
      </w:r>
      <w:r>
        <w:t xml:space="preserve"> </w:t>
      </w:r>
      <w:r>
        <w:t xml:space="preserve">Provide draping and treatment in a way that ensures the safety, comfort, and privacy of the client.[</w:t>
      </w:r>
    </w:p>
    <w:p>
      <w:pPr>
        <w:pStyle w:val="kar_history"/>
      </w:pPr>
      <w:r>
        <w:t xml:space="preserve">(32 Ky.R. 1015; 1226; eff. 2-3-2006; 37 Ky.R. Am. 1009; 1695; 1989; eff. 3-4-2011; Cert eff. 2-26-2020; 48 Ky.R. 1241; eff. 7-5-2022.)</w:t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b1ecfb1b4424bd2" /><Relationship Type="http://schemas.openxmlformats.org/officeDocument/2006/relationships/settings" Target="/word/settings.xml" Id="R99288ae8eee44083" /></Relationships>
</file>