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4e990935473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2:224.</w:t>
      </w:r>
      <w:r>
        <w:t xml:space="preserve"> </w:t>
      </w:r>
      <w:r>
        <w:t xml:space="preserve">Waterfowl hunting zones.</w:t>
      </w:r>
    </w:p>
    <w:p>
      <w:pPr>
        <w:pStyle w:val="kar_markup_metadata"/>
      </w:pPr>
      <w:r>
        <w:t xml:space="preserve">RELATES TO: </w:t>
      </w:r>
      <w:r>
        <w:t xml:space="preserve">KRS 150.010(40), 150.025(1), 150.305(1), 150.330, 150.340(1), (3), 150.600(1), 150.990, 59 C.F.R. 20</w:t>
      </w:r>
    </w:p>
    <w:p>
      <w:pPr>
        <w:pStyle w:val="kar_markup_metadata"/>
      </w:pPr>
      <w:r>
        <w:t xml:space="preserve">STATUTORY AUTHORITY: </w:t>
      </w:r>
      <w:r>
        <w:t xml:space="preserve">KRS 150.025(1), 150.600(1), 50 C.F.R. 20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KRS 150.025(1) authorizes the department to make administrative regulations which apply to a limited area or to the entire state. This administrative regulation establishes waterfowl hunting zones.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Goose Hunting Zones.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Western Goose Zone includes Henderson County and the portion of Kentucky west of: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US 60 from the Henderson-Union County line to US 641;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US 641 to Interstate 24;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Interstate 24 to the Purchase Parkway; and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The Purchase Parkway.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Ballard Zone includes the portion of Ballard County north or west of: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Ballard-McCracken County line to State Road 358;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State Road 358 to US 60;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US 60 to the city limits of Wickliffe;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The city limits of Wickliffe to the center of the Mississippi River.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 Ballard Reporting Area includes: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portion of Ballard County not included in the Ballard Zone;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Carlisle and McCracken Counties;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The portions of Fulton, Graves, Hickman and Marshall Counties in the Western Goose Zone.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The Henderson-Union Zone includes Henderson County and the portion of Union County in the Western Goose Zone.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Counties associated with the Henderson-Union Zone include those portions of Crittenden, Livingston and Lyon Counties in the Western Goose Zone.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The Pennyroyal-Coalfield Goose Zone includes the area from the Western Goose Zone to and including Simpson, Warren, Butler, Ohio, and Daviess Counties.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The Eastern Goose Zone includes the portions of Kentucky not included in the Western or Pennyroyal-Coalfield Goose Zones.</w:t>
      </w:r>
    </w:p>
    <w:p>
      <w:pPr>
        <w:pStyle w:val="kar_subsection"/>
      </w:pPr>
      <w:r>
        <w:t xml:space="preserve">(8)</w:t>
      </w:r>
      <w:r>
        <w:t xml:space="preserve"> </w:t>
      </w:r>
      <w:r>
        <w:t xml:space="preserve">The West-Central Special Hunt Zone includes: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Muhlenberg County;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Ohio County south of Rough River;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Butler County west of Highway 79 and north of Highway 70;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Hopkins County: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East of Highways 814 and 109;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South of US 41A between Highways 814 and Madisonville; and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South of Highway 85 east of Madisonville.</w:t>
      </w:r>
    </w:p>
    <w:p>
      <w:pPr>
        <w:pStyle w:val="kar_subsection"/>
      </w:pPr>
      <w:r>
        <w:t xml:space="preserve">(9)</w:t>
      </w:r>
      <w:r>
        <w:t xml:space="preserve"> </w:t>
      </w:r>
      <w:r>
        <w:t xml:space="preserve">The Northeast Special Hunt Zone includes Bath, Menifee, Morgan and Rowan Counties, except Paintsville Lake and its shoreline in Morgan County.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Duck, Coot, and Merganser Hunting Zones.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Western Duck Zone includes the portion of Kentucky in the Western and Pennyroyal-Coalfield Goose Zones.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Eastern Duck Zone includes the portion of Kentucky not in the Western Duck Zone.</w:t>
      </w:r>
    </w:p>
    <w:p>
      <w:pPr>
        <w:pStyle w:val="kar_history"/>
      </w:pPr>
      <w:r>
        <w:t xml:space="preserve">(21 Ky.R. 1804; eff. 2-22-1995; Am. 22 Ky.R. 1681; eff. 5-16-1996; 23 Ky.R. 2848; eff. 3-12-1997; 39 Ky.R. 1308; eff. 3-8-2013; 48 Ky.R. 888; eff. 3-1-2022.)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2f7b53054b0d" /><Relationship Type="http://schemas.openxmlformats.org/officeDocument/2006/relationships/settings" Target="/word/settings.xml" Id="R224efd366a8d4555" /></Relationships>
</file>