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bb383139914b26" /></Relationships>
</file>

<file path=word/document.xml><?xml version="1.0" encoding="utf-8"?>
<w:document xmlns:w="http://schemas.openxmlformats.org/wordprocessingml/2006/main">
  <w:body>
    <w:p>
      <w:pPr>
        <w:pStyle w:val="kar_citation"/>
      </w:pPr>
      <w:r>
        <w:t>810 KAR 8:025.</w:t>
      </w:r>
      <w:r>
        <w:t xml:space="preserve"> </w:t>
      </w:r>
      <w:r>
        <w:t xml:space="preserve">Drug, medication, and substance withdrawal guidelines.</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These withdrawal guidelines regarding furosemide shall not apply to two (2) year-old or stakes horses pursuant to 810 KAR 8:010, Section 6.</w:t>
      </w:r>
    </w:p>
    <w:p>
      <w:pPr>
        <w:pStyle w:val="kar_subsection"/>
      </w:pPr>
      <w:r>
        <w:t xml:space="preserve">(3)</w:t>
      </w:r>
      <w:r>
        <w:t xml:space="preserve"> </w:t>
      </w:r>
      <w:r>
        <w:t xml:space="preserve"> </w:t>
      </w:r>
    </w:p>
    <w:p>
      <w:pPr>
        <w:pStyle w:val="kar_paragraph"/>
      </w:pPr>
      <w:r>
        <w:t xml:space="preserve">(a)</w:t>
      </w:r>
      <w:r>
        <w:t xml:space="preserve"> </w:t>
      </w:r>
      <w:r>
        <w:t xml:space="preserve">Unless otherwise specified in these withdrawal guidelines, KAR Title 810, or KRS Chapter 230, the following withdrawal guidelines in this section are voluntary and advisory. The guidelines are recommendations based on current scientific knowledge that may change over time.</w:t>
      </w:r>
    </w:p>
    <w:p>
      <w:pPr>
        <w:pStyle w:val="kar_paragraph"/>
      </w:pPr>
      <w:r>
        <w:t xml:space="preserve">(b)</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t xml:space="preserve">(c)</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t xml:space="preserve">(d)</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t xml:space="preserve">(e)</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t xml:space="preserve">(f)</w:t>
      </w:r>
      <w:r>
        <w:t xml:space="preserve"> </w:t>
      </w:r>
      <w:r>
        <w:t xml:space="preserve">Brand names of medications, where applicable, are listed in parentheses following the generic name of a drug.</w:t>
      </w:r>
    </w:p>
    <w:p>
      <w:pPr>
        <w:pStyle w:val="kar_subsection"/>
      </w:pPr>
      <w:r>
        <w:t xml:space="preserve">(4)</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(3)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Section 1(3)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Section 1(3)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t xml:space="preserve">(5)</w:t>
      </w:r>
      <w:r>
        <w:t xml:space="preserve"> </w:t>
      </w:r>
      <w:r>
        <w:t xml:space="preserve">The following substances have a forty-eight (48) hour withdrawal guidance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Acepromazine (Promace), via IV administration at 0.05 mg/kg;</w:t>
      </w:r>
    </w:p>
    <w:p>
      <w:pPr>
        <w:pStyle w:val="kar_paragraph"/>
      </w:pPr>
      <w:r>
        <w:t xml:space="preserve">(b)</w:t>
      </w:r>
      <w:r>
        <w:t xml:space="preserve"> </w:t>
      </w:r>
      <w:r>
        <w:t xml:space="preserve">Butorphanol (Torbugesic), via IV administration at 0.1 mg/kg;</w:t>
      </w:r>
    </w:p>
    <w:p>
      <w:pPr>
        <w:pStyle w:val="kar_paragraph"/>
      </w:pPr>
      <w:r>
        <w:t xml:space="preserve">(c)</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t xml:space="preserve">(d)</w:t>
      </w:r>
      <w:r>
        <w:t xml:space="preserve"> </w:t>
      </w:r>
      <w:r>
        <w:t xml:space="preserve">Dantrolene (Dantrium), via oral administration at 500 mg total dose;</w:t>
      </w:r>
    </w:p>
    <w:p>
      <w:pPr>
        <w:pStyle w:val="kar_paragraph"/>
      </w:pPr>
      <w:r>
        <w:t xml:space="preserve">(e)</w:t>
      </w:r>
      <w:r>
        <w:t xml:space="preserve"> </w:t>
      </w:r>
      <w:r>
        <w:t xml:space="preserve">Detomidine (Dormosedan), via IV administration at 5 mg single dose;</w:t>
      </w:r>
    </w:p>
    <w:p>
      <w:pPr>
        <w:pStyle w:val="kar_paragraph"/>
      </w:pPr>
      <w:r>
        <w:t xml:space="preserve">(f)</w:t>
      </w:r>
      <w:r>
        <w:t xml:space="preserve"> </w:t>
      </w:r>
      <w:r>
        <w:t xml:space="preserve">DMSO via IV, oral, or topical administration up to 60 ml;</w:t>
      </w:r>
    </w:p>
    <w:p>
      <w:pPr>
        <w:pStyle w:val="kar_paragraph"/>
      </w:pPr>
      <w:r>
        <w:t xml:space="preserve">(g)</w:t>
      </w:r>
      <w:r>
        <w:t xml:space="preserve"> </w:t>
      </w:r>
      <w:r>
        <w:t xml:space="preserve">Glycopyrrolate (Robinol), via IV administration at 1 mg total dose;</w:t>
      </w:r>
    </w:p>
    <w:p>
      <w:pPr>
        <w:pStyle w:val="kar_paragraph"/>
      </w:pPr>
      <w:r>
        <w:t xml:space="preserve">(h)</w:t>
      </w:r>
      <w:r>
        <w:t xml:space="preserve"> </w:t>
      </w:r>
      <w:r>
        <w:t xml:space="preserve">Guaifenesin, orally at 2 g twice daily for 5 doses;</w:t>
      </w:r>
    </w:p>
    <w:p>
      <w:pPr>
        <w:pStyle w:val="kar_paragraph"/>
      </w:pPr>
      <w:r>
        <w:t xml:space="preserve">(i)</w:t>
      </w:r>
      <w:r>
        <w:t xml:space="preserve"> </w:t>
      </w:r>
      <w:r>
        <w:t xml:space="preserve">Methocarbamol (Robaxin-V), via single IV at 15 mg/kg;</w:t>
      </w:r>
    </w:p>
    <w:p>
      <w:pPr>
        <w:pStyle w:val="kar_paragraph"/>
      </w:pPr>
      <w:r>
        <w:t xml:space="preserve">(j)</w:t>
      </w:r>
      <w:r>
        <w:t xml:space="preserve"> </w:t>
      </w:r>
      <w:r>
        <w:t xml:space="preserve">Procaine penicillin, via IM administration at 17 mg/kg; and</w:t>
      </w:r>
    </w:p>
    <w:p>
      <w:pPr>
        <w:pStyle w:val="kar_paragraph"/>
      </w:pPr>
      <w:r>
        <w:t xml:space="preserve">(k)</w:t>
      </w:r>
      <w:r>
        <w:t xml:space="preserve"> </w:t>
      </w:r>
      <w:r>
        <w:t xml:space="preserve">Xylazine (Rompun), via IV administration at 200 mg single dose.</w:t>
      </w:r>
    </w:p>
    <w:p>
      <w:pPr>
        <w:pStyle w:val="kar_subsection"/>
      </w:pPr>
      <w:r>
        <w:t xml:space="preserve">(6)</w:t>
      </w:r>
      <w:r>
        <w:t xml:space="preserve"> </w:t>
      </w:r>
      <w:r>
        <w:t xml:space="preserve">The following substances shall not be administered within forty-eight (48) hours of a race:</w:t>
      </w:r>
    </w:p>
    <w:p>
      <w:pPr>
        <w:pStyle w:val="kar_paragraph"/>
      </w:pPr>
      <w:r>
        <w:t xml:space="preserve">(a)</w:t>
      </w:r>
      <w:r>
        <w:t xml:space="preserve"> </w:t>
      </w:r>
      <w:r>
        <w:t xml:space="preserve">Beta-2 agonists by inhalation, such as terbutaline, salmeterol, and fenoterol;</w:t>
      </w:r>
    </w:p>
    <w:p>
      <w:pPr>
        <w:pStyle w:val="kar_paragraph"/>
      </w:pPr>
      <w:r>
        <w:t xml:space="preserve">(b)</w:t>
      </w:r>
      <w:r>
        <w:t xml:space="preserve"> </w:t>
      </w:r>
      <w:r>
        <w:t xml:space="preserve">Ergot alkaloids, such as Ergonovine and Methergine;</w:t>
      </w:r>
    </w:p>
    <w:p>
      <w:pPr>
        <w:pStyle w:val="kar_paragraph"/>
      </w:pPr>
      <w:r>
        <w:t xml:space="preserve">(c)</w:t>
      </w:r>
      <w:r>
        <w:t xml:space="preserve"> </w:t>
      </w:r>
      <w:r>
        <w:t xml:space="preserve">Ipratopium;</w:t>
      </w:r>
    </w:p>
    <w:p>
      <w:pPr>
        <w:pStyle w:val="kar_paragraph"/>
      </w:pPr>
      <w:r>
        <w:t xml:space="preserve">(d)</w:t>
      </w:r>
      <w:r>
        <w:t xml:space="preserve"> </w:t>
      </w:r>
      <w:r>
        <w:t xml:space="preserve">Isoxsuprine; and</w:t>
      </w:r>
    </w:p>
    <w:p>
      <w:pPr>
        <w:pStyle w:val="kar_paragraph"/>
      </w:pPr>
      <w:r>
        <w:t xml:space="preserve">(e)</w:t>
      </w:r>
      <w:r>
        <w:t xml:space="preserve"> </w:t>
      </w:r>
      <w:r>
        <w:t xml:space="preserve">Pentoxyphylline (Trental).</w:t>
      </w:r>
    </w:p>
    <w:p>
      <w:pPr>
        <w:pStyle w:val="kar_subsection"/>
      </w:pPr>
      <w:r>
        <w:t xml:space="preserve">(7)</w:t>
      </w:r>
      <w:r>
        <w:t xml:space="preserve"> </w:t>
      </w:r>
      <w:r>
        <w:t xml:space="preserve">The following substances may be administered up to seventy-two (72)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Albuterol (Proventil) via inhalation at 720 mcg;</w:t>
      </w:r>
    </w:p>
    <w:p>
      <w:pPr>
        <w:pStyle w:val="kar_paragraph"/>
      </w:pPr>
      <w:r>
        <w:t xml:space="preserve">(b)</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t xml:space="preserve">(c)</w:t>
      </w:r>
      <w:r>
        <w:t xml:space="preserve"> </w:t>
      </w:r>
      <w:r>
        <w:t xml:space="preserve">Lidocaine, via subcutaneous administration at 200 mg total dose;</w:t>
      </w:r>
    </w:p>
    <w:p>
      <w:pPr>
        <w:pStyle w:val="kar_paragraph"/>
      </w:pPr>
      <w:r>
        <w:t xml:space="preserve">(d)</w:t>
      </w:r>
      <w:r>
        <w:t xml:space="preserve"> </w:t>
      </w:r>
      <w:r>
        <w:t xml:space="preserve">Mepivacaine (Carbocaine), via subcutaneous administration at 0.07 mg/kg; and</w:t>
      </w:r>
    </w:p>
    <w:p>
      <w:pPr>
        <w:pStyle w:val="kar_paragraph"/>
      </w:pPr>
      <w:r>
        <w:t xml:space="preserve">(e)</w:t>
      </w:r>
      <w:r>
        <w:t xml:space="preserve"> </w:t>
      </w:r>
      <w:r>
        <w:t xml:space="preserve">Romifidine (Sedivet), via IV administration at 50 mg.</w:t>
      </w:r>
    </w:p>
    <w:p>
      <w:pPr>
        <w:pStyle w:val="kar_subsection"/>
      </w:pPr>
      <w:r>
        <w:t xml:space="preserve">(8)</w:t>
      </w:r>
      <w:r>
        <w:t xml:space="preserve"> </w:t>
      </w:r>
      <w:r>
        <w:t xml:space="preserve">The following substances may be administered up to ninety-six (96)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Hydroxyzine (Atarax); and</w:t>
      </w:r>
    </w:p>
    <w:p>
      <w:pPr>
        <w:pStyle w:val="kar_paragraph"/>
      </w:pPr>
      <w:r>
        <w:t xml:space="preserve">(b)</w:t>
      </w:r>
      <w:r>
        <w:t xml:space="preserve"> </w:t>
      </w:r>
      <w:r>
        <w:t xml:space="preserve">Phenytoin (Dilantin).</w:t>
      </w:r>
    </w:p>
    <w:p>
      <w:pPr>
        <w:pStyle w:val="kar_subsection"/>
      </w:pPr>
      <w:r>
        <w:t xml:space="preserve">(9)</w:t>
      </w:r>
      <w:r>
        <w:t xml:space="preserve"> </w:t>
      </w:r>
      <w:r>
        <w:t xml:space="preserve">Reserpine (Serpasil) may be administered up to seven (7) days prior to the scheduled post time of the race in which the horse is to compete as long as its use follows Section 1(3)  of this administrative regulation.</w:t>
      </w:r>
    </w:p>
    <w:p>
      <w:pPr>
        <w:pStyle w:val="kar_subsection"/>
      </w:pPr>
      <w:r>
        <w:t xml:space="preserve">(10)</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t xml:space="preserve">(11)</w:t>
      </w:r>
      <w:r>
        <w:t xml:space="preserve"> </w:t>
      </w:r>
      <w:r>
        <w:t xml:space="preserve">The following substance may be administered up to twenty-one (21) days prior to the scheduled post time of the race in which the horse is to compete, as long as its use follows Section 1(3)  of this administrative regulation, and its use complies with 810 KAR 8:010, Section 10: Clenbuterol (Ventipulmin), orally up to 0.8 mcg/kg twice daily.</w:t>
      </w:r>
    </w:p>
    <w:p>
      <w:pPr>
        <w:pStyle w:val="kar_subsection"/>
      </w:pPr>
      <w:r>
        <w:t xml:space="preserve">(12)</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t xml:space="preserve">(a)</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t xml:space="preserve">(b)</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 even if there was a negative finding by the commission laboratory in the clearance testing sample.</w:t>
      </w:r>
    </w:p>
    <w:p>
      <w:pPr>
        <w:pStyle w:val="kar_subsection"/>
      </w:pPr>
      <w:r>
        <w:t xml:space="preserve">(13)</w:t>
      </w:r>
      <w:r>
        <w:t xml:space="preserve"> </w:t>
      </w:r>
      <w:r>
        <w:t xml:space="preserve">The following shall have a fourteen (14) day stand down period for intra-articular injection. Any IA corticosteroid injection within fourteen (14) days shall be a violation:</w:t>
      </w:r>
    </w:p>
    <w:p>
      <w:pPr>
        <w:pStyle w:val="kar_paragraph"/>
      </w:pPr>
      <w:r>
        <w:t xml:space="preserve">(a)</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t xml:space="preserve">(b)</w:t>
      </w:r>
      <w:r>
        <w:t xml:space="preserve"> </w:t>
      </w:r>
      <w:r>
        <w:t xml:space="preserve">Isoflupredone (Predef 2x), via IA administration at 20 mg in a single joint space or 10 mg subcutaneous.</w:t>
      </w:r>
    </w:p>
    <w:p>
      <w:pPr>
        <w:pStyle w:val="kar_paragraph"/>
      </w:pPr>
      <w:r>
        <w:t xml:space="preserve">(c)</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t xml:space="preserve">(d)</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t xml:space="preserve">(14)</w:t>
      </w:r>
      <w:r>
        <w:t xml:space="preserve"> </w:t>
      </w:r>
      <w:r>
        <w:t xml:space="preserve">It is recommended that any horses receiving Fluphenazine (Prolixin) receive pre-race clearance testing.</w:t>
      </w:r>
    </w:p>
    <w:p>
      <w:pPr>
        <w:pStyle w:val="kar_subsection"/>
      </w:pPr>
      <w:r>
        <w:t xml:space="preserve">(15)</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t xml:space="preserve">(16)</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t xml:space="preserve">(17)</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t xml:space="preserve">Section 2.</w:t>
      </w:r>
      <w:r>
        <w:t xml:space="preserve"> </w:t>
      </w:r>
      <w:r>
        <w:t xml:space="preserve"> </w:t>
      </w:r>
    </w:p>
    <w:p>
      <w:pPr>
        <w:pStyle w:val="kar_subsection"/>
      </w:pPr>
      <w:r>
        <w:t xml:space="preserve">(1)</w:t>
      </w:r>
      <w:r>
        <w:t xml:space="preserve"> </w:t>
      </w:r>
      <w:r>
        <w:t xml:space="preserve">Available Threshold Levels Associated to KHRC Withdrawal Guidelines:</w:t>
      </w:r>
    </w:p>
    <w:p>
      <w:pPr>
        <w:pStyle w:val="kar_subsection"/>
      </w:pPr>
      <w:r>
        <w:t xml:space="preserve">(2)</w:t>
      </w:r>
      <w:r>
        <w:t xml:space="preserve"> </w:t>
      </w:r>
      <w:r>
        <w:t xml:space="preserve">All other NSAIDs not listed on the withdrawal guidelines shall have a threshold set at limit of detection in serum or plasma.</w:t>
      </w:r>
    </w:p>
    <w:p>
      <w:pPr>
        <w:pStyle w:val="kar_history"/>
      </w:pPr>
      <w:r>
        <w:t xml:space="preserve">(47 Ky.R. 2188; 48 Ky.R. 35; eff. 10-5-2021; 47 Ky.R. 2188; 48 Ky.R. 35, 1933;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909a3b936a4254" /><Relationship Type="http://schemas.openxmlformats.org/officeDocument/2006/relationships/settings" Target="/word/settings.xml" Id="Rf0217c58904044b4" /></Relationships>
</file>