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d3ac2181d34cf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20:215.</w:t>
      </w:r>
      <w:r>
        <w:t xml:space="preserve"> </w:t>
      </w:r>
      <w:r>
        <w:t xml:space="preserve">Continuing competency requirements.</w:t>
      </w:r>
    </w:p>
    <w:p>
      <w:pPr>
        <w:pStyle w:val="kar_markup_metadata"/>
      </w:pPr>
      <w:r>
        <w:t xml:space="preserve">RELATES TO: </w:t>
      </w:r>
      <w:r>
        <w:t xml:space="preserve">KRS </w:t>
      </w:r>
      <w:r>
        <w:rPr>
          <w:b/>
          <w:i/>
          <w:u w:val="single"/>
        </w:rPr>
        <w:t xml:space="preserve">194A.540,</w:t>
      </w:r>
      <w:r>
        <w:t xml:space="preserve"> 218A.205(3)(i), 314.011(12), 314.073, 314.991(1)-(3)</w:t>
      </w:r>
      <w:r>
        <w:rPr>
          <w:b/>
          <w:i/>
          <w:u w:val="single"/>
        </w:rPr>
        <w:t xml:space="preserve">, 620.020(8)</w:t>
      </w:r>
    </w:p>
    <w:p>
      <w:pPr>
        <w:pStyle w:val="kar_markup_metadata"/>
      </w:pPr>
      <w:r>
        <w:t xml:space="preserve">STATUTORY AUTHORITY: </w:t>
      </w:r>
      <w:r>
        <w:t xml:space="preserve">KRS 218A.205(3)(i), 314.073, 314.131(1), (2)</w:t>
      </w:r>
    </w:p>
    <w:p>
      <w:pPr>
        <w:pStyle w:val="kar_markup_metadata"/>
      </w:pPr>
      <w:r>
        <w:t xml:space="preserve">CERTIFICATION STATEMENT: </w:t>
      </w:r>
    </w:p>
    <w:p>
      <w:pPr>
        <w:pStyle w:val="kar_markup_metadata"/>
      </w:pPr>
      <w:r>
        <w:t xml:space="preserve">NECESSITY, FUNCTION, AND CONFORMITY: </w:t>
      </w:r>
      <w:r>
        <w:t xml:space="preserve">KRS 314.131(1), (2), and 314.073 require</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w:t>
      </w:r>
      <w:r>
        <w:rPr>
          <w:b/>
          <w:i/>
          <w:u w:val="single"/>
        </w:rPr>
        <w:t xml:space="preserve">as established in subsection (1) through (4) of this section </w:t>
      </w:r>
      <w:r>
        <w:t xml:space="preserve">shall be </w:t>
      </w:r>
      <w:r>
        <w:t>[</w:t>
      </w:r>
      <w:r>
        <w:rPr>
          <w:b/>
          <w:i/>
          <w:strike w:val="true"/>
        </w:rPr>
        <w:t xml:space="preserve">as follows</w:t>
      </w:r>
      <w:r>
        <w:t>]</w:t>
      </w:r>
      <w:r>
        <w:t xml:space="preserv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w:t>
      </w:r>
      <w:r>
        <w:rPr>
          <w:b/>
          <w:i/>
          <w:u w:val="single"/>
        </w:rPr>
        <w:t xml:space="preserve"> or</w:t>
      </w:r>
    </w:p>
    <w:p>
      <w:pPr>
        <w:pStyle w:val="kar_paragraph"/>
      </w:pPr>
      <w:r>
        <w:t xml:space="preserve">(c)</w:t>
      </w:r>
      <w:r>
        <w:t xml:space="preserve"> </w:t>
      </w:r>
      <w:r>
        <w:t xml:space="preserve">Participation as a preceptor for at least one (1) nursing student or new employee</w:t>
      </w:r>
      <w:r>
        <w:rPr>
          <w:b/>
          <w:i/>
          <w:u w:val="single"/>
        </w:rPr>
        <w:t xml:space="preserve">:</w:t>
      </w:r>
      <w:r>
        <w:t>[</w:t>
      </w:r>
      <w:r>
        <w:rPr>
          <w:b/>
          <w:i/>
          <w:strike w:val="true"/>
        </w:rPr>
        <w:t xml:space="preserve">.</w:t>
      </w:r>
      <w:r>
        <w:t>]</w:t>
      </w:r>
    </w:p>
    <w:p>
      <w:pPr>
        <w:pStyle w:val="kar_subparagraph"/>
      </w:pPr>
      <w:r>
        <w:t xml:space="preserve">1.</w:t>
      </w:r>
      <w:r>
        <w:t xml:space="preserve"> </w:t>
      </w:r>
      <w:r>
        <w:rPr>
          <w:b/>
          <w:i/>
          <w:u w:val="single"/>
        </w:rPr>
        <w:t xml:space="preserve">That has a</w:t>
      </w:r>
      <w:r>
        <w:t>[</w:t>
      </w:r>
      <w:r>
        <w:rPr>
          <w:b/>
          <w:i/>
          <w:strike w:val="true"/>
        </w:rPr>
        <w:t xml:space="preserve">The</w:t>
      </w:r>
      <w:r>
        <w:t>]</w:t>
      </w:r>
      <w:r>
        <w:t xml:space="preserve"> preceptorship </w:t>
      </w:r>
      <w:r>
        <w:rPr>
          <w:b/>
          <w:i/>
          <w:u w:val="single"/>
        </w:rPr>
        <w:t xml:space="preserve">that </w:t>
      </w:r>
      <w:r>
        <w:t xml:space="preserve">shall be for at least 120 hours</w:t>
      </w:r>
      <w:r>
        <w:rPr>
          <w:b/>
          <w:i/>
          <w:u w:val="single"/>
        </w:rPr>
        <w:t xml:space="preserve">;</w:t>
      </w:r>
      <w:r>
        <w:t>[</w:t>
      </w:r>
      <w:r>
        <w:rPr>
          <w:b/>
          <w:i/>
          <w:strike w:val="true"/>
        </w:rPr>
        <w:t xml:space="preserve">.</w:t>
      </w:r>
      <w:r>
        <w:t>]</w:t>
      </w:r>
    </w:p>
    <w:p>
      <w:pPr>
        <w:pStyle w:val="kar_subparagraph"/>
      </w:pPr>
      <w:r>
        <w:t xml:space="preserve">2.</w:t>
      </w:r>
      <w:r>
        <w:t xml:space="preserve"> </w:t>
      </w:r>
      <w:r>
        <w:rPr>
          <w:b/>
          <w:i/>
          <w:u w:val="single"/>
        </w:rPr>
        <w:t xml:space="preserve">Requires</w:t>
      </w:r>
      <w:r>
        <w:t>[</w:t>
      </w:r>
      <w:r>
        <w:rPr>
          <w:b/>
          <w:i/>
          <w:strike w:val="true"/>
        </w:rPr>
        <w:t xml:space="preserve">There shall be</w:t>
      </w:r>
      <w:r>
        <w:t>]</w:t>
      </w:r>
      <w:r>
        <w:t xml:space="preserve"> a one (1) to one (1) relationship between the preceptor and the student or employee</w:t>
      </w:r>
      <w:r>
        <w:rPr>
          <w:b/>
          <w:i/>
          <w:u w:val="single"/>
        </w:rPr>
        <w:t xml:space="preserve">;</w:t>
      </w:r>
      <w:r>
        <w:t>[</w:t>
      </w:r>
      <w:r>
        <w:rPr>
          <w:b/>
          <w:i/>
          <w:strike w:val="true"/>
        </w:rPr>
        <w:t xml:space="preserve">.</w:t>
      </w:r>
      <w:r>
        <w:t>]</w:t>
      </w:r>
    </w:p>
    <w:p>
      <w:pPr>
        <w:pStyle w:val="kar_subparagraph"/>
      </w:pPr>
      <w:r>
        <w:t xml:space="preserve">3.</w:t>
      </w:r>
      <w:r>
        <w:t xml:space="preserve"> </w:t>
      </w:r>
      <w:r>
        <w:rPr>
          <w:b/>
          <w:i/>
          <w:u w:val="single"/>
        </w:rPr>
        <w:t xml:space="preserve">Authorizes</w:t>
      </w:r>
      <w:r>
        <w:t xml:space="preserve"> the preceptor </w:t>
      </w:r>
      <w:r>
        <w:rPr>
          <w:b/>
          <w:i/>
          <w:u w:val="single"/>
        </w:rPr>
        <w:t xml:space="preserve">to</w:t>
      </w:r>
      <w:r>
        <w:t>[</w:t>
      </w:r>
      <w:r>
        <w:rPr>
          <w:b/>
          <w:i/>
          <w:strike w:val="true"/>
        </w:rPr>
        <w:t xml:space="preserve">may</w:t>
      </w:r>
      <w:r>
        <w:t>]</w:t>
      </w:r>
      <w:r>
        <w:t xml:space="preserve"> train more than one (1) student or employee and </w:t>
      </w:r>
      <w:r>
        <w:rPr>
          <w:b/>
          <w:i/>
          <w:u w:val="single"/>
        </w:rPr>
        <w:t xml:space="preserve">to</w:t>
      </w:r>
      <w:r>
        <w:t>[</w:t>
      </w:r>
      <w:r>
        <w:rPr>
          <w:b/>
          <w:i/>
          <w:strike w:val="true"/>
        </w:rPr>
        <w:t xml:space="preserve">may</w:t>
      </w:r>
      <w:r>
        <w:t>]</w:t>
      </w:r>
      <w:r>
        <w:t xml:space="preserve"> combine the hours to total 120 hours</w:t>
      </w:r>
      <w:r>
        <w:rPr>
          <w:b/>
          <w:i/>
          <w:u w:val="single"/>
        </w:rPr>
        <w:t xml:space="preserve">; and</w:t>
      </w:r>
      <w:r>
        <w:t>[</w:t>
      </w:r>
      <w:r>
        <w:rPr>
          <w:b/>
          <w:i/>
          <w:strike w:val="true"/>
        </w:rPr>
        <w:t xml:space="preserve">.</w:t>
      </w:r>
      <w:r>
        <w:t>]</w:t>
      </w:r>
    </w:p>
    <w:p>
      <w:pPr>
        <w:pStyle w:val="kar_subparagraph"/>
      </w:pPr>
      <w:r>
        <w:t xml:space="preserve">4.</w:t>
      </w:r>
      <w:r>
        <w:t xml:space="preserve"> </w:t>
      </w:r>
      <w:r>
        <w:rPr>
          <w:b/>
          <w:i/>
          <w:u w:val="single"/>
        </w:rPr>
        <w:t xml:space="preserve">Includes that</w:t>
      </w:r>
      <w:r>
        <w:t xml:space="preserve"> the preceptorship shall be evidenced by </w:t>
      </w:r>
      <w:r>
        <w:rPr>
          <w:u w:val="single"/>
        </w:rPr>
        <w:t xml:space="preserve">submission of the Preceptor Continuing Education Verification Form completed by </w:t>
      </w:r>
      <w:r>
        <w:t>[</w:t>
      </w:r>
      <w:r>
        <w:rPr>
          <w:strike w:val="true"/>
        </w:rPr>
        <w:t xml:space="preserve">written documentation from</w:t>
      </w:r>
      <w:r>
        <w:t>]</w:t>
      </w:r>
      <w:r>
        <w:t xml:space="preserve">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 The nurse shall submit </w:t>
      </w:r>
      <w:r>
        <w:rPr>
          <w:u w:val="single"/>
        </w:rPr>
        <w:t xml:space="preserve">the Nursing Continuing Education </w:t>
      </w:r>
      <w:r>
        <w:rPr>
          <w:b/>
          <w:i/>
          <w:u w:val="single"/>
        </w:rPr>
        <w:t xml:space="preserve">Employment</w:t>
      </w:r>
      <w:r>
        <w:t>[</w:t>
      </w:r>
      <w:r>
        <w:rPr>
          <w:b/>
          <w:i/>
          <w:strike w:val="true"/>
          <w:u w:val="single"/>
        </w:rPr>
        <w:t xml:space="preserve">Employer</w:t>
      </w:r>
      <w:r>
        <w:t>]</w:t>
      </w:r>
      <w:r>
        <w:rPr>
          <w:u w:val="single"/>
        </w:rPr>
        <w:t xml:space="preserve"> Evaluation Form, completed and signed by the nurse's supervisor or employer, which shall cover a period of at least six (6) months during the earning period.</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The evaluation, which shall:</w:t>
      </w:r>
      <w:r>
        <w:t>]</w:t>
      </w:r>
    </w:p>
    <w:p>
      <w:pPr>
        <w:pStyle w:val="kar_clause"/>
      </w:pPr>
      <w:r>
        <w:t>[</w:t>
      </w:r>
      <w:r>
        <w:rPr>
          <w:strike w:val="true"/>
        </w:rPr>
        <w:t xml:space="preserve">a.</w:t>
      </w:r>
      <w:r>
        <w:t>]</w:t>
      </w:r>
      <w:r>
        <w:t xml:space="preserve"> </w:t>
      </w:r>
      <w:r>
        <w:t>[</w:t>
      </w:r>
      <w:r>
        <w:rPr>
          <w:strike w:val="true"/>
        </w:rPr>
        <w:t xml:space="preserve">Cover a period of at least six (6) months during the earning period;</w:t>
      </w:r>
      <w:r>
        <w:t>]</w:t>
      </w:r>
    </w:p>
    <w:p>
      <w:pPr>
        <w:pStyle w:val="kar_clause"/>
      </w:pPr>
      <w:r>
        <w:t>[</w:t>
      </w:r>
      <w:r>
        <w:rPr>
          <w:strike w:val="true"/>
        </w:rPr>
        <w:t xml:space="preserve">b.</w:t>
      </w:r>
      <w:r>
        <w:t>]</w:t>
      </w:r>
      <w:r>
        <w:t xml:space="preserve"> </w:t>
      </w:r>
      <w:r>
        <w:t>[</w:t>
      </w:r>
      <w:r>
        <w:rPr>
          <w:strike w:val="true"/>
        </w:rPr>
        <w:t xml:space="preserve">Be signed by the nurse's supervisor; and</w:t>
      </w:r>
      <w:r>
        <w:t>]</w:t>
      </w:r>
    </w:p>
    <w:p>
      <w:pPr>
        <w:pStyle w:val="kar_clause"/>
      </w:pPr>
      <w:r>
        <w:t>[</w:t>
      </w:r>
      <w:r>
        <w:rPr>
          <w:strike w:val="true"/>
        </w:rPr>
        <w:t xml:space="preserve">c.</w:t>
      </w:r>
      <w:r>
        <w:t>]</w:t>
      </w:r>
      <w:r>
        <w:t xml:space="preserve"> </w:t>
      </w:r>
      <w:r>
        <w:t>[</w:t>
      </w:r>
      <w:r>
        <w:rPr>
          <w:strike w:val="true"/>
        </w:rPr>
        <w:t xml:space="preserve">Include the name, address, and telephone number of the employer; and</w:t>
      </w:r>
      <w:r>
        <w:t>]</w:t>
      </w:r>
    </w:p>
    <w:p>
      <w:pPr>
        <w:pStyle w:val="kar_subparagraph"/>
      </w:pPr>
      <w:r>
        <w:t>[</w:t>
      </w:r>
      <w:r>
        <w:rPr>
          <w:strike w:val="true"/>
        </w:rPr>
        <w:t xml:space="preserve">2.</w:t>
      </w:r>
      <w:r>
        <w:t>]</w:t>
      </w:r>
      <w:r>
        <w:t xml:space="preserve"> </w:t>
      </w:r>
      <w:r>
        <w:t>[</w:t>
      </w:r>
      <w:r>
        <w:rPr>
          <w:strike w:val="true"/>
        </w:rPr>
        <w:t xml:space="preserve">The Nursing Employment Evaluation Form.</w:t>
      </w:r>
      <w:r>
        <w:t>]</w:t>
      </w:r>
    </w:p>
    <w:p>
      <w:pPr>
        <w:pStyle w:val="kar_subsection"/>
      </w:pPr>
      <w:r>
        <w:t xml:space="preserve">(5)</w:t>
      </w:r>
      <w:r>
        <w:t xml:space="preserve"> </w:t>
      </w:r>
      <w:r>
        <w:t xml:space="preserve">Contact hours of continuing education earned for </w:t>
      </w:r>
      <w:r>
        <w:rPr>
          <w:b/>
          <w:i/>
          <w:u w:val="single"/>
        </w:rPr>
        <w:t xml:space="preserve">the methods of continued competency validation as established in</w:t>
      </w:r>
      <w:r>
        <w:t xml:space="preserve">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Advanced practice registered nurses </w:t>
      </w:r>
      <w:r>
        <w:rPr>
          <w:u w:val="single"/>
        </w:rPr>
        <w:t xml:space="preserve">who do not have a Collaborative Agreement for Advanced Practice Registered Nurse's Prescriptive Authority for Controlled Substances (CAPA-CS) pursuant to KRS 314.042(10) or a waiver and registration issued by the United States Drug Enforcement Administration (DEA) to prescribe buprenorphine for the treatment of opioid use disorder </w:t>
      </w:r>
      <w:r>
        <w:t xml:space="preserve">shall earn a minimum of five (5) contact hours in pharmacology.</w:t>
      </w:r>
    </w:p>
    <w:p>
      <w:pPr>
        <w:pStyle w:val="kar_paragraph"/>
      </w:pPr>
      <w:r>
        <w:t xml:space="preserve">(b)</w:t>
      </w:r>
      <w:r>
        <w:t xml:space="preserve"> </w:t>
      </w:r>
      <w:r>
        <w:t xml:space="preserve">Advanced practice registered nurses with a Collaborative Agreement for Advanced Practice Registered Nurse's Prescriptive Authority for Controlled Substances (CAPA-CS) pursuant to KRS 314.042(10) </w:t>
      </w:r>
      <w:r>
        <w:rPr>
          <w:u w:val="single"/>
        </w:rPr>
        <w:t xml:space="preserve">who do not have a waiver and registration issued by the DEA to prescribe buprenorphine for the treatment of opioid use disorder</w:t>
      </w:r>
      <w:r>
        <w:t xml:space="preserve"> shall earn </w:t>
      </w:r>
      <w:r>
        <w:rPr>
          <w:u w:val="single"/>
        </w:rPr>
        <w:t xml:space="preserve">a minimum of five (5) contact hours in pharmacology, including at least one and one-half (1.5) contact hours on the dual subjects of pharmacology and either</w:t>
      </w:r>
      <w:r>
        <w:t>[</w:t>
      </w:r>
      <w:r>
        <w:rPr>
          <w:strike w:val="true"/>
        </w:rPr>
        <w:t xml:space="preserve">, as a part of the requirement of paragraph (a) of this subsection, at least one and one-half (1.5) contact hours related to the use of the KASPER system,</w:t>
      </w:r>
      <w:r>
        <w:t>]</w:t>
      </w:r>
      <w:r>
        <w:t xml:space="preserve"> pain management</w:t>
      </w:r>
      <w:r>
        <w:t>[</w:t>
      </w:r>
      <w:r>
        <w:rPr>
          <w:strike w:val="true"/>
        </w:rPr>
        <w:t xml:space="preserve">,</w:t>
      </w:r>
      <w:r>
        <w:t>]</w:t>
      </w:r>
      <w:r>
        <w:t xml:space="preserve"> or addiction disorders.</w:t>
      </w:r>
    </w:p>
    <w:p>
      <w:pPr>
        <w:pStyle w:val="kar_paragraph"/>
      </w:pPr>
      <w:r>
        <w:rPr>
          <w:u w:val="single"/>
        </w:rPr>
        <w:t xml:space="preserve">(c)</w:t>
      </w:r>
      <w:r>
        <w:t xml:space="preserve"> </w:t>
      </w:r>
      <w:r>
        <w:rPr>
          <w:u w:val="single"/>
        </w:rPr>
        <w:t xml:space="preserve">Advanced practice registered nurses who have a waiver and registration issued by the DEA to prescribe buprenorphine for the treatment of opioid use disorder shall earn:</w:t>
      </w:r>
    </w:p>
    <w:p>
      <w:pPr>
        <w:pStyle w:val="kar_subparagraph"/>
      </w:pPr>
      <w:r>
        <w:rPr>
          <w:u w:val="single"/>
        </w:rPr>
        <w:t xml:space="preserve">1.</w:t>
      </w:r>
      <w:r>
        <w:t xml:space="preserve"> </w:t>
      </w:r>
      <w:r>
        <w:rPr>
          <w:u w:val="single"/>
        </w:rPr>
        <w:t xml:space="preserve">A minimum of five (5) contact hours annually in pharmacology, of which one and one-half (1.5) pharmacology hours </w:t>
      </w:r>
      <w:r>
        <w:rPr>
          <w:b/>
          <w:i/>
          <w:u w:val="single"/>
        </w:rPr>
        <w:t xml:space="preserve">shall</w:t>
      </w:r>
      <w:r>
        <w:t>[</w:t>
      </w:r>
      <w:r>
        <w:rPr>
          <w:b/>
          <w:i/>
          <w:strike w:val="true"/>
          <w:u w:val="single"/>
        </w:rPr>
        <w:t xml:space="preserve">must</w:t>
      </w:r>
      <w:r>
        <w:t>]</w:t>
      </w:r>
      <w:r>
        <w:rPr>
          <w:u w:val="single"/>
        </w:rPr>
        <w:t xml:space="preserve"> be on the dual subjects of addiction disorders and pharmacology; and</w:t>
      </w:r>
    </w:p>
    <w:p>
      <w:pPr>
        <w:pStyle w:val="kar_subparagraph"/>
      </w:pPr>
      <w:r>
        <w:rPr>
          <w:u w:val="single"/>
        </w:rPr>
        <w:t xml:space="preserve">2.</w:t>
      </w:r>
      <w:r>
        <w:t xml:space="preserve"> </w:t>
      </w:r>
      <w:r>
        <w:rPr>
          <w:b/>
          <w:i/>
          <w:u w:val="single"/>
        </w:rPr>
        <w:t xml:space="preserve">An</w:t>
      </w:r>
      <w:r>
        <w:t>[</w:t>
      </w:r>
      <w:r>
        <w:rPr>
          <w:b/>
          <w:i/>
          <w:strike w:val="true"/>
          <w:u w:val="single"/>
        </w:rPr>
        <w:t xml:space="preserve">and</w:t>
      </w:r>
      <w:r>
        <w:t>]</w:t>
      </w:r>
      <w:r>
        <w:rPr>
          <w:u w:val="single"/>
        </w:rPr>
        <w:t xml:space="preserve"> additional two and one-half (2.5) contact hours annually on addiction disorders.</w:t>
      </w:r>
    </w:p>
    <w:p>
      <w:pPr>
        <w:pStyle w:val="kar_paragraph"/>
      </w:pPr>
      <w:r>
        <w:rPr>
          <w:u w:val="single"/>
        </w:rPr>
        <w:t xml:space="preserve">(d)</w:t>
      </w:r>
      <w:r>
        <w:t>[</w:t>
      </w:r>
      <w:r>
        <w:rPr>
          <w:strike w:val="true"/>
        </w:rPr>
        <w:t xml:space="preserve">(c)</w:t>
      </w:r>
      <w:r>
        <w:t>]</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rPr>
          <w:u w:val="single"/>
        </w:rPr>
        <w:t xml:space="preserve">(e)</w:t>
      </w:r>
      <w:r>
        <w:t>[</w:t>
      </w:r>
      <w:r>
        <w:rPr>
          <w:strike w:val="true"/>
        </w:rPr>
        <w:t xml:space="preserve">(d)</w:t>
      </w:r>
      <w:r>
        <w:t>]</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Sexual assault nurse examiners shall earn the continuing education required by 201 KAR 20:411, Section 8.</w:t>
      </w:r>
    </w:p>
    <w:p>
      <w:pPr>
        <w:pStyle w:val="kar_subsection"/>
      </w:pPr>
      <w:r>
        <w:t xml:space="preserve">(3)</w:t>
      </w:r>
      <w:r>
        <w:t xml:space="preserve"> </w:t>
      </w:r>
      <w:r>
        <w:t xml:space="preserve">Registered nurses and licensed practical nurses </w:t>
      </w:r>
      <w:r>
        <w:t>[</w:t>
      </w:r>
      <w:r>
        <w:rPr>
          <w:strike w:val="true"/>
        </w:rPr>
        <w:t xml:space="preserve">licensed after July 15, 2010</w:t>
      </w:r>
      <w:r>
        <w:t>]</w:t>
      </w:r>
      <w:r>
        <w:t xml:space="preserve"> shall earn</w:t>
      </w:r>
      <w:r>
        <w:rPr>
          <w:u w:val="single"/>
        </w:rPr>
        <w:t xml:space="preserve">, within three (3) years of licensure,</w:t>
      </w:r>
      <w:r>
        <w:t xml:space="preserve"> a minimum of one and one-half (1.5) contact hours in pediatric abusive head trauma as required by KRS 314.073(6)</w:t>
      </w:r>
      <w:r>
        <w:rPr>
          <w:u w:val="single"/>
        </w:rPr>
        <w:t xml:space="preserve">, and a minimum of three (3) contact hours on domestic violence</w:t>
      </w:r>
      <w:r>
        <w:rPr>
          <w:b/>
          <w:i/>
          <w:u w:val="single"/>
        </w:rPr>
        <w:t xml:space="preserve">, and elder abuse, neglect, and exploitation</w:t>
      </w:r>
      <w:r>
        <w:rPr>
          <w:u w:val="single"/>
        </w:rPr>
        <w:t xml:space="preserve"> as required by KRS 194A.540</w:t>
      </w:r>
      <w:r>
        <w:t>[</w:t>
      </w:r>
      <w:r>
        <w:rPr>
          <w:strike w:val="true"/>
        </w:rPr>
        <w:t xml:space="preserve"> within three (3) years of licensure</w:t>
      </w:r>
      <w:r>
        <w:t>]</w:t>
      </w:r>
      <w:r>
        <w:t xml:space="preserve">.</w:t>
      </w:r>
    </w:p>
    <w:p>
      <w:pPr>
        <w:pStyle w:val="kar_subsection"/>
      </w:pPr>
      <w:r>
        <w:rPr>
          <w:u w:val="single"/>
        </w:rPr>
        <w:t xml:space="preserve">(4)</w:t>
      </w:r>
      <w:r>
        <w:t xml:space="preserve"> </w:t>
      </w:r>
      <w:r>
        <w:rPr>
          <w:u w:val="single"/>
        </w:rPr>
        <w:t xml:space="preserve">Registered nurses, licensed practical nurses, and advanced practice registered nurses who hold an active nursing license on July 1, 2022, shall satisfy the continuing competency requirement in subsection (6) of this section on or before July 1, 2023.</w:t>
      </w:r>
    </w:p>
    <w:p>
      <w:pPr>
        <w:pStyle w:val="kar_subsection"/>
      </w:pPr>
      <w:r>
        <w:rPr>
          <w:u w:val="single"/>
        </w:rPr>
        <w:t xml:space="preserve">(5)</w:t>
      </w:r>
      <w:r>
        <w:t xml:space="preserve"> </w:t>
      </w:r>
      <w:r>
        <w:rPr>
          <w:u w:val="single"/>
        </w:rPr>
        <w:t xml:space="preserve">Registered nurses, licensed practical nurses, and advanced practice registered nurses who obtain licensure by examination, endorsement</w:t>
      </w:r>
      <w:r>
        <w:rPr>
          <w:b/>
          <w:i/>
          <w:u w:val="single"/>
        </w:rPr>
        <w:t xml:space="preserve">,</w:t>
      </w:r>
      <w:r>
        <w:rPr>
          <w:u w:val="single"/>
        </w:rPr>
        <w:t xml:space="preserve"> or reinstatement after July 1, 2022, shall satisfy the continuing competency requirements in subsection (6) of this section within three (3) years of licensure.</w:t>
      </w:r>
    </w:p>
    <w:p>
      <w:pPr>
        <w:pStyle w:val="kar_subsection"/>
      </w:pPr>
      <w:r>
        <w:rPr>
          <w:u w:val="single"/>
        </w:rPr>
        <w:t xml:space="preserve">(6)</w:t>
      </w:r>
      <w:r>
        <w:t xml:space="preserve"> </w:t>
      </w:r>
      <w:r>
        <w:t xml:space="preserve"> </w:t>
      </w:r>
    </w:p>
    <w:p>
      <w:pPr>
        <w:pStyle w:val="kar_paragraph"/>
      </w:pPr>
      <w:r>
        <w:rPr>
          <w:u w:val="single"/>
        </w:rPr>
        <w:t xml:space="preserve">(a)</w:t>
      </w:r>
      <w:r>
        <w:t xml:space="preserve"> </w:t>
      </w:r>
      <w:r>
        <w:rPr>
          <w:u w:val="single"/>
        </w:rPr>
        <w:t xml:space="preserve">Nurses shall earn a minimum of two (2) contact hours on the subject of suicide prevention, which shall consist of one (1) contact hour on suicide prevention generally, and one (1) contact hour that addresses:</w:t>
      </w:r>
    </w:p>
    <w:p>
      <w:pPr>
        <w:pStyle w:val="kar_subparagraph"/>
      </w:pPr>
      <w:r>
        <w:rPr>
          <w:u w:val="single"/>
        </w:rPr>
        <w:t xml:space="preserve">1.</w:t>
      </w:r>
      <w:r>
        <w:t xml:space="preserve"> </w:t>
      </w:r>
      <w:r>
        <w:rPr>
          <w:u w:val="single"/>
        </w:rPr>
        <w:t xml:space="preserve">Chronic toxic stress and secondary traumatic stress potentially increasing the incidence of suicide amongst nurses;</w:t>
      </w:r>
    </w:p>
    <w:p>
      <w:pPr>
        <w:pStyle w:val="kar_subparagraph"/>
      </w:pPr>
      <w:r>
        <w:rPr>
          <w:u w:val="single"/>
        </w:rPr>
        <w:t xml:space="preserve">2.</w:t>
      </w:r>
      <w:r>
        <w:t xml:space="preserve"> </w:t>
      </w:r>
      <w:r>
        <w:rPr>
          <w:u w:val="single"/>
        </w:rPr>
        <w:t xml:space="preserve">A confidential and standardized pathway to care for nurses that addresses screening, assessing, safety planning, referrals</w:t>
      </w:r>
      <w:r>
        <w:rPr>
          <w:b/>
          <w:i/>
          <w:u w:val="single"/>
        </w:rPr>
        <w:t xml:space="preserve">,</w:t>
      </w:r>
      <w:r>
        <w:rPr>
          <w:u w:val="single"/>
        </w:rPr>
        <w:t xml:space="preserve"> and follow-up for nurses at risk for suicide;</w:t>
      </w:r>
    </w:p>
    <w:p>
      <w:pPr>
        <w:pStyle w:val="kar_subparagraph"/>
      </w:pPr>
      <w:r>
        <w:rPr>
          <w:u w:val="single"/>
        </w:rPr>
        <w:t xml:space="preserve">3.</w:t>
      </w:r>
      <w:r>
        <w:t xml:space="preserve"> </w:t>
      </w:r>
      <w:r>
        <w:rPr>
          <w:u w:val="single"/>
        </w:rPr>
        <w:t xml:space="preserve">Systems of care, evidence-informed approaches, and best practices to reduce suicide rates; and</w:t>
      </w:r>
    </w:p>
    <w:p>
      <w:pPr>
        <w:pStyle w:val="kar_subparagraph"/>
      </w:pPr>
      <w:r>
        <w:rPr>
          <w:u w:val="single"/>
        </w:rPr>
        <w:t xml:space="preserve">4.</w:t>
      </w:r>
      <w:r>
        <w:t xml:space="preserve"> </w:t>
      </w:r>
      <w:r>
        <w:rPr>
          <w:u w:val="single"/>
        </w:rPr>
        <w:t xml:space="preserve">Ethical legal considerations of caring for patients </w:t>
      </w:r>
      <w:r>
        <w:rPr>
          <w:b/>
          <w:i/>
          <w:u w:val="single"/>
        </w:rPr>
        <w:t xml:space="preserve">and</w:t>
      </w:r>
      <w:r>
        <w:t>[</w:t>
      </w:r>
      <w:r>
        <w:rPr>
          <w:b/>
          <w:i/>
          <w:strike w:val="true"/>
          <w:u w:val="single"/>
        </w:rPr>
        <w:t xml:space="preserve">/</w:t>
      </w:r>
      <w:r>
        <w:t>]</w:t>
      </w:r>
      <w:r>
        <w:rPr>
          <w:u w:val="single"/>
        </w:rPr>
        <w:t xml:space="preserve">nurses who are suicidal.</w:t>
      </w:r>
    </w:p>
    <w:p>
      <w:pPr>
        <w:pStyle w:val="kar_paragraph"/>
      </w:pPr>
      <w:r>
        <w:rPr>
          <w:u w:val="single"/>
        </w:rPr>
        <w:t xml:space="preserve">(b)</w:t>
      </w:r>
      <w:r>
        <w:t xml:space="preserve"> </w:t>
      </w:r>
      <w:r>
        <w:rPr>
          <w:u w:val="single"/>
        </w:rPr>
        <w:t xml:space="preserve">Nurses shall earn a minimum of one and one-half (1.5) contact hours in implicit bias that addresses:</w:t>
      </w:r>
    </w:p>
    <w:p>
      <w:pPr>
        <w:pStyle w:val="kar_subparagraph"/>
      </w:pPr>
      <w:r>
        <w:rPr>
          <w:u w:val="single"/>
        </w:rPr>
        <w:t xml:space="preserve">1.</w:t>
      </w:r>
      <w:r>
        <w:t xml:space="preserve"> </w:t>
      </w:r>
      <w:r>
        <w:rPr>
          <w:u w:val="single"/>
        </w:rPr>
        <w:t xml:space="preserve">The impact of historical racism and other forms of invidious discrimination on the provision of healthcare;</w:t>
      </w:r>
    </w:p>
    <w:p>
      <w:pPr>
        <w:pStyle w:val="kar_subparagraph"/>
      </w:pPr>
      <w:r>
        <w:rPr>
          <w:u w:val="single"/>
        </w:rPr>
        <w:t xml:space="preserve">2.</w:t>
      </w:r>
      <w:r>
        <w:t xml:space="preserve"> </w:t>
      </w:r>
      <w:r>
        <w:rPr>
          <w:u w:val="single"/>
        </w:rPr>
        <w:t xml:space="preserve">Methods of evaluating the presence and extent of implicit bias; and</w:t>
      </w:r>
    </w:p>
    <w:p>
      <w:pPr>
        <w:pStyle w:val="kar_subparagraph"/>
      </w:pPr>
      <w:r>
        <w:rPr>
          <w:u w:val="single"/>
        </w:rPr>
        <w:t xml:space="preserve">3.</w:t>
      </w:r>
      <w:r>
        <w:t xml:space="preserve"> </w:t>
      </w:r>
      <w:r>
        <w:rPr>
          <w:u w:val="single"/>
        </w:rPr>
        <w:t xml:space="preserve">Measures that </w:t>
      </w:r>
      <w:r>
        <w:rPr>
          <w:b/>
          <w:i/>
          <w:u w:val="single"/>
        </w:rPr>
        <w:t xml:space="preserve">may</w:t>
      </w:r>
      <w:r>
        <w:t>[</w:t>
      </w:r>
      <w:r>
        <w:rPr>
          <w:b/>
          <w:i/>
          <w:strike w:val="true"/>
          <w:u w:val="single"/>
        </w:rPr>
        <w:t xml:space="preserve">can</w:t>
      </w:r>
      <w:r>
        <w:t>]</w:t>
      </w:r>
      <w:r>
        <w:rPr>
          <w:u w:val="single"/>
        </w:rPr>
        <w:t xml:space="preserve"> be taken to reduce implicit bias.</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w:t>
      </w:r>
      <w:r>
        <w:rPr>
          <w:u w:val="single"/>
        </w:rPr>
        <w:t xml:space="preserve">, in electronic format to CE Broker, the continuing education tracking system utilized by the board, via https://cebroker.com</w:t>
      </w:r>
      <w:r>
        <w:t xml:space="preserve">.</w:t>
      </w:r>
    </w:p>
    <w:p>
      <w:pPr>
        <w:pStyle w:val="kar_paragraph"/>
      </w:pPr>
      <w:r>
        <w:t xml:space="preserve">(b)</w:t>
      </w:r>
      <w:r>
        <w:t xml:space="preserve"> </w:t>
      </w:r>
      <w:r>
        <w:t xml:space="preserve">Copies shall be furnished within twenty (20) days of the date a written request is </w:t>
      </w:r>
      <w:r>
        <w:rPr>
          <w:u w:val="single"/>
        </w:rPr>
        <w:t xml:space="preserve">sent</w:t>
      </w:r>
      <w:r>
        <w:t>[</w:t>
      </w:r>
      <w:r>
        <w:rPr>
          <w:strike w:val="true"/>
        </w:rPr>
        <w:t xml:space="preserve">mailed by first class</w:t>
      </w:r>
      <w:r>
        <w:t>]</w:t>
      </w:r>
      <w:r>
        <w:t xml:space="preserve"> to the last known </w:t>
      </w:r>
      <w:r>
        <w:rPr>
          <w:u w:val="single"/>
        </w:rPr>
        <w:t xml:space="preserve">email </w:t>
      </w:r>
      <w:r>
        <w:t xml:space="preserve">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w:t>
      </w:r>
      <w:r>
        <w:rPr>
          <w:u w:val="single"/>
        </w:rPr>
        <w:t xml:space="preserve">ten (10) business</w:t>
      </w:r>
      <w:r>
        <w:t>[</w:t>
      </w:r>
      <w:r>
        <w:rPr>
          <w:strike w:val="true"/>
        </w:rPr>
        <w:t xml:space="preserve">thirty (30)</w:t>
      </w:r>
      <w:r>
        <w:t>]</w:t>
      </w:r>
      <w:r>
        <w:t xml:space="preserve">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w:t>
      </w:r>
      <w:r>
        <w:rPr>
          <w:b/>
          <w:i/>
          <w:u w:val="single"/>
        </w:rPr>
        <w:t xml:space="preserve">found</w:t>
      </w:r>
      <w:r>
        <w:t>[</w:t>
      </w:r>
      <w:r>
        <w:rPr>
          <w:b/>
          <w:i/>
          <w:strike w:val="true"/>
        </w:rPr>
        <w:t xml:space="preserve">deemed</w:t>
      </w:r>
      <w:r>
        <w:t>]</w:t>
      </w:r>
      <w:r>
        <w:t xml:space="preserve">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9/2005; </w:t>
      </w:r>
      <w:r>
        <w:t>[</w:t>
      </w:r>
      <w:r>
        <w:rPr>
          <w:strike w:val="true"/>
        </w:rPr>
        <w:t xml:space="preserve">and</w:t>
      </w:r>
      <w:r>
        <w:t>]</w:t>
      </w:r>
    </w:p>
    <w:p>
      <w:pPr>
        <w:pStyle w:val="kar_paragraph"/>
      </w:pPr>
      <w:r>
        <w:t xml:space="preserve">(b)</w:t>
      </w:r>
      <w:r>
        <w:t xml:space="preserve"> </w:t>
      </w:r>
      <w:r>
        <w:t xml:space="preserve">"Nursing </w:t>
      </w:r>
      <w:r>
        <w:rPr>
          <w:u w:val="single"/>
        </w:rPr>
        <w:t xml:space="preserve">Continuing Education </w:t>
      </w:r>
      <w:r>
        <w:t xml:space="preserve">Employment Evaluation Form", 6/</w:t>
      </w:r>
      <w:r>
        <w:rPr>
          <w:u w:val="single"/>
        </w:rPr>
        <w:t xml:space="preserve">2021</w:t>
      </w:r>
      <w:r>
        <w:t>[</w:t>
      </w:r>
      <w:r>
        <w:rPr>
          <w:strike w:val="true"/>
        </w:rPr>
        <w:t xml:space="preserve">2016</w:t>
      </w:r>
      <w:r>
        <w:t>]</w:t>
      </w:r>
      <w:r>
        <w:rPr>
          <w:u w:val="single"/>
        </w:rPr>
        <w:t xml:space="preserve">; and</w:t>
      </w:r>
    </w:p>
    <w:p>
      <w:pPr>
        <w:pStyle w:val="kar_paragraph"/>
      </w:pPr>
      <w:r>
        <w:rPr>
          <w:u w:val="single"/>
        </w:rPr>
        <w:t xml:space="preserve">(c)</w:t>
      </w:r>
      <w:r>
        <w:t xml:space="preserve"> </w:t>
      </w:r>
      <w:r>
        <w:rPr>
          <w:u w:val="single"/>
        </w:rPr>
        <w:t xml:space="preserve">"Preceptor Continuing Education Verification Form", 6/2021</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w:t>
      </w:r>
      <w:r>
        <w:rPr>
          <w:u w:val="single"/>
        </w:rPr>
        <w:t xml:space="preserve">This material is also available on the board's Web site at https://kbn.ky.gov/legalopinions/Pages/laws.aspx.</w:t>
      </w:r>
    </w:p>
    <w:p>
      <w:pPr>
        <w:pStyle w:val="kar_filed"/>
      </w:pPr>
      <w:r>
        <w:t xml:space="preserve">FILED WITH LRC: December 9, 2021</w:t>
      </w:r>
    </w:p>
    <w:p>
      <w:pPr>
        <w:pStyle w:val="kar_contact_person"/>
      </w:pPr>
      <w:r>
        <w:t xml:space="preserve">CONTACT PERSON: Jeffrey R. Prather, General Counsel, Kentucky Board of Nursing, 312 Whittington Parkway, Suite 300, Louisville, Kentucky 40222, phone (502) 338-2851, email Jeffrey.Prather@ky.gov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c816eafa34b01" /><Relationship Type="http://schemas.openxmlformats.org/officeDocument/2006/relationships/settings" Target="/word/settings.xml" Id="R3edeaa8e8b274cc4" /></Relationships>
</file>