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6883ef2c64d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1:071.</w:t>
      </w:r>
      <w:r>
        <w:t xml:space="preserve"> </w:t>
      </w:r>
      <w:r>
        <w:t xml:space="preserve">Change of ownership.</w:t>
      </w:r>
    </w:p>
    <w:p>
      <w:pPr>
        <w:pStyle w:val="kar_markup_metadata"/>
      </w:pPr>
      <w:r>
        <w:t xml:space="preserve">RELATES TO: </w:t>
      </w:r>
      <w:r>
        <w:t xml:space="preserve">KRS 190.030</w:t>
      </w:r>
    </w:p>
    <w:p>
      <w:pPr>
        <w:pStyle w:val="kar_markup_metadata"/>
      </w:pPr>
      <w:r>
        <w:t xml:space="preserve">STATUTORY AUTHORITY: </w:t>
      </w:r>
      <w:r>
        <w:t xml:space="preserve">KRS 190.030, 190.073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190.030 requires each separate entity acting as a dealer to have a license and to make needed reports to the Motor Vehicle Commission. This administrative regulation establishes requirements for change of ownership of dealer licenses, particularly if a sale or transfer occurs, so that the commission can be on notice of who actually holds a license.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All licenses issued by the commission are non-transferable.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complete change of ownership of a licensee shall require a new Application for Motor Vehicle Dealer License, TC 98-1, incorporated by reference in 605 KAR 1:030 and the appropriate fee.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Upon the sale or transfer of a licensee's business or the operating assets of a business to a new individual or entity, the new owner shall secure a new license for each location acquired, unless the acquirer has a valid motor vehicle dealer license for the locations.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the licensee is a corporation or limited liability company, the transfer of the controlling stock or controlling membership interest shall be reported to the commission within fifteen (15) days of the transfer.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commission may require a new license application based on the reported transfer.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The commission shall be notified on a timely basis of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death of a licensee who is a sole proprietor;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death or dissolution of a general partner of a partnership or limited partnership licensee; or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death or dissolution of an owner of the controlling interest of a corporate or limited liability company licensee.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 the case of the death of a sole proprietor, the commission may, if the executor or administrator alone, or in conjunction with dealership employees, is capable of operating the business in compliance with KRS Chapter 190, allow a duly qualified executor or administrator to operate the business for the remainder of the calendar year. In the case of the death or dissolution of a partner, or the controlling owner of a corporation or limited liability company, the commission shall require a new Application for Motor Vehicle Dealer License, TC 98-1, incorporated by reference in 605 KAR 1:030 and the appropriate fee if the death or dissolution results in a material change to the financial, moral, or operational fitness of the licensee.</w:t>
      </w:r>
    </w:p>
    <w:p>
      <w:pPr>
        <w:pStyle w:val="kar_history"/>
      </w:pPr>
      <w:r>
        <w:t xml:space="preserve">(48 Ky.R. 1675, 2206; eff. 2-16-2022.)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5e4951bca4f5e" /><Relationship Type="http://schemas.openxmlformats.org/officeDocument/2006/relationships/settings" Target="/word/settings.xml" Id="Rb65ab1dc9d4f4866" /></Relationships>
</file>