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2f5d1a102da4fe5"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Department of Workplace Standards</w:t>
      </w:r>
    </w:p>
    <w:p>
      <w:pPr>
        <w:pStyle w:val="kar_markup_header"/>
        <w:ind w:firstLine="0"/>
      </w:pPr>
      <w:r>
        <w:t>(Amended After Comments)</w:t>
      </w:r>
    </w:p>
    <w:p>
      <w:pPr>
        <w:pStyle w:val="kar_citation"/>
      </w:pPr>
      <w:r>
        <w:t>803 KAR 1:061.</w:t>
      </w:r>
      <w:r>
        <w:t xml:space="preserve"> </w:t>
      </w:r>
      <w:r>
        <w:t xml:space="preserve">Overtime pay requirements</w:t>
      </w:r>
    </w:p>
    <w:p>
      <w:pPr>
        <w:pStyle w:val="kar_markup_metadata"/>
      </w:pPr>
      <w:r>
        <w:t xml:space="preserve">RELATES TO: </w:t>
      </w:r>
      <w:r>
        <w:t xml:space="preserve">KRS 337.285</w:t>
      </w:r>
    </w:p>
    <w:p>
      <w:pPr>
        <w:pStyle w:val="kar_markup_metadata"/>
      </w:pPr>
      <w:r>
        <w:t xml:space="preserve">STATUTORY AUTHORITY: </w:t>
      </w:r>
      <w:r>
        <w:t xml:space="preserve">KRS 337.295</w:t>
      </w:r>
    </w:p>
    <w:p>
      <w:pPr>
        <w:pStyle w:val="kar_markup_metadata"/>
      </w:pPr>
      <w:r>
        <w:t xml:space="preserve">CERTIFICATION STATEMENT: </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the official interpretations of the Department of Workplace Standards, Kentucky Labor Cabinet, with respect to the meaning and application of the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"Profit sharing plan" means any person or arrangement that provides for the distribution by the employer to the employees of their respective shares of profits.</w:t>
      </w:r>
    </w:p>
    <w:p>
      <w:pPr>
        <w:pStyle w:val="kar_subsection"/>
      </w:pPr>
      <w:r>
        <w:t xml:space="preserve">(2)</w:t>
      </w:r>
      <w:r>
        <w:t xml:space="preserve"> </w:t>
      </w:r>
      <w:r>
        <w:t xml:space="preserve">"Profit sharing trust" means any program or arrangement that provides for the irrevocable deposit by the employer of the employee's distributive shares of profits with a trustee for deferred distribution to the employees of their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on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 The beginning of the workweek may be changed if the change is intended to be static and not designed to evade overtime requirements. 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is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are as established in 29 C.F.R. 778.112.</w:t>
      </w:r>
    </w:p>
    <w:p>
      <w:pPr>
        <w:pStyle w:val="kar_subsection"/>
      </w:pPr>
      <w:r>
        <w:t xml:space="preserve">(4)</w:t>
      </w:r>
      <w:r>
        <w:t xml:space="preserve"> </w:t>
      </w:r>
      <w:r>
        <w:t xml:space="preserve">Salaried employee. The overtime pay criteria for salaried employees is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are as established in 29 C.F.R. 778.116.</w:t>
      </w:r>
    </w:p>
    <w:p>
      <w:pPr>
        <w:pStyle w:val="kar_subsection"/>
      </w:pPr>
      <w:r>
        <w:t xml:space="preserve">(7)</w:t>
      </w:r>
      <w:r>
        <w:t xml:space="preserve"> </w:t>
      </w:r>
      <w:r>
        <w:t xml:space="preserve">Commission payments. The overtime pay criteria for commission payments is as established in 29 C.F.R. 778.117 through 778.121.</w:t>
      </w:r>
    </w:p>
    <w:p>
      <w:pPr>
        <w:pStyle w:val="kar_subsection"/>
      </w:pPr>
      <w:r>
        <w:t xml:space="preserve">(8)</w:t>
      </w:r>
      <w:r>
        <w:t xml:space="preserve"> </w:t>
      </w:r>
      <w:r>
        <w:t xml:space="preserve">Other methods of determining the regular hourly rate shall be allowed if they provide for each employee employed by an employer to be paid a rate of not less than one and one-half (1 1/2) times the hourly rate at which the employee is employed and the method 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holiday times or on other special occasions as a reward for service, the amounts of which are not measured by or dependent on hours worked, production, or efficiency. The sums shall not be credited toward overtime compensation due. To qualify for this exclusion, the bonus shall be actually a gift or in the nature of a gift. If it is measured by hours worked, production, or efficiency, the payment shall be considered geared towards wages and hours during the bonus period and shall not be considered in the nature of a gift. If the payment is so substantial that it can be assumed that employees consider it a part of the wages for which they work, the bonus shall not be considered to be in the nature of a gift. If the bonus is paid pursuant to contract, it shall not be in the nature of a gift;</w:t>
      </w:r>
    </w:p>
    <w:p>
      <w:pPr>
        <w:pStyle w:val="kar_subsection"/>
      </w:pPr>
      <w:r>
        <w:t xml:space="preserve">(2)</w:t>
      </w:r>
      <w:r>
        <w:t xml:space="preserve"> </w:t>
      </w:r>
      <w:r>
        <w:t xml:space="preserve">Payments made for an occasional period during which time worked is not being performed due to vacation, holiday, illness, failure of the employer to provide sufficient work or other similar cause, reasonable payments for traveling expenses or other expenses incurred by an employee in the furtherance of the employer's interests and properly reimbursable by the employer, and other similar payments to an employee that are not made as compensation for the employee's hours worked in any workweek, 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bonda fide thrift or savings plan. The sums shall not, however, be credited toward overtime compensation due pursuant to KRS 337.285. In order for a bonus to qualify for exclusion as a discretionary bonus the employer shall retain discretion both as to the fact of payment and as to the amount until a time quite close to the end of the period for which the bonus is paid. The sum to be paid as a bonus shall be determined by the employer without prior promise or agreement. The employee shall not have a contract right, express or implied, to any amount. If the employer promises in advance to pay a bonus the employer shall have abandoned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or health insurance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 or an established branch or division of the business which is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their respective shares of profits after the determination of the amount of profits to be distributed, or for the irrevocable deposit by the employer of the employee's distributive shares of profits with a trustee for deferred distribution to the employees of their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are based on factors other than profits, such as hours of work, production, efficiency, sales, or savings in cost.</w:t>
      </w:r>
    </w:p>
    <w:p>
      <w:pPr>
        <w:pStyle w:val="kar_section"/>
      </w:pPr>
      <w:r>
        <w:t xml:space="preserve">Section 11.</w:t>
      </w:r>
      <w:r>
        <w:t xml:space="preserve"> </w:t>
      </w:r>
      <w:r>
        <w:t xml:space="preserve">Requirements of a "Bona Fide Thrift or Savings Plan."</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it is in writing, adopted by the employer or by contract as a result of collective bargaining and communicated, or made available to the employees, and established and maintained, in good faith,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their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w:t>
      </w:r>
      <w:r>
        <w:rPr>
          <w:b/>
          <w:u w:val="single"/>
        </w:rPr>
        <w:t xml:space="preserve">base</w:t>
      </w:r>
      <w:r>
        <w:t>[</w:t>
      </w:r>
      <w:r>
        <w:rPr>
          <w:b/>
          <w:strike w:val="true"/>
        </w:rPr>
        <w:t xml:space="preserve">case</w:t>
      </w:r>
      <w:r>
        <w:t>]</w:t>
      </w:r>
      <w:r>
        <w:t xml:space="preserve"> rate of pay, or length of service of the employee.</w:t>
      </w:r>
    </w:p>
    <w:p>
      <w:pPr>
        <w:pStyle w:val="kar_paragraph"/>
      </w:pPr>
      <w:r>
        <w:t xml:space="preserve">(d)</w:t>
      </w:r>
      <w:r>
        <w:t xml:space="preserve"> </w:t>
      </w:r>
      <w:r>
        <w:t xml:space="preserve">The employer's total contribution in any year shall not exceed fifteen (15) percent of the participating employees' total earnings during the year. In addition, 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are as established in 29 C.F.R. 778.215.</w:t>
      </w:r>
    </w:p>
    <w:p>
      <w:pPr>
        <w:pStyle w:val="kar_section"/>
      </w:pPr>
      <w:r>
        <w:t xml:space="preserve">Section 13.</w:t>
      </w:r>
      <w:r>
        <w:t xml:space="preserve"> </w:t>
      </w:r>
      <w:r>
        <w:t xml:space="preserve">Overlapping When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 A change in the workweek necessarily results in a situation in which one (1) or more hours or days fall in both the old workweek as previously constituted and the new workweek. 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pPr>
      <w:r>
        <w:t xml:space="preserve">(2)</w:t>
      </w:r>
      <w:r>
        <w:t xml:space="preserve"> </w:t>
      </w:r>
      <w:r>
        <w:t xml:space="preserve">The criteria for the computation of overtime due for overlapping workweeks is as established in 29 C.F.R. 778.301 and 778.302(a) and (b).</w:t>
      </w:r>
    </w:p>
    <w:p>
      <w:pPr>
        <w:pStyle w:val="kar_signature"/>
      </w:pPr>
      <w:r>
        <w:t xml:space="preserve">KIMBERLEE C. PERRY, Commissioner</w:t>
      </w:r>
    </w:p>
    <w:p>
      <w:pPr>
        <w:pStyle w:val="kar_signature"/>
      </w:pPr>
      <w:r>
        <w:t xml:space="preserve">JAMIE LINK, Secretary</w:t>
      </w:r>
    </w:p>
    <w:p>
      <w:pPr>
        <w:pStyle w:val="kar_approved_by"/>
      </w:pPr>
      <w:r>
        <w:t xml:space="preserve">APPROVED BY AGENCY: April 13, 2022</w:t>
      </w:r>
    </w:p>
    <w:p>
      <w:pPr>
        <w:pStyle w:val="kar_filed"/>
      </w:pPr>
      <w:r>
        <w:t xml:space="preserve">FILED WITH LRC: April 13, 2022 at 2:15 p.m.</w:t>
      </w:r>
    </w:p>
    <w:p>
      <w:pPr>
        <w:pStyle w:val="kar_contact_person"/>
      </w:pPr>
      <w:r>
        <w:t xml:space="preserve">CONTACT PERSON: Duane Hammons, Labor Cabinet, Mayo-Underwood Building, 500 Mero Street, 3rd Floor, Frankfort, Kentucky 40601, phone (502) 564-1507, fax (502) 564-5484, email Kenneth.hammons@ky.gov.</w:t>
      </w:r>
    </w:p>
    <w:p>
      <w:pPr>
        <w:pStyle w:val="kar_form_name"/>
      </w:pPr>
      <w:r>
        <w:t xml:space="preserve">REGULATORY IMPACT ANALYSIS AND TIERING STATEMENT</w:t>
      </w:r>
    </w:p>
    <w:p>
      <w:pPr>
        <w:pStyle w:val="kar_normal"/>
        <w:ind w:left="0"/>
      </w:pPr>
      <w:r>
        <w:t xml:space="preserve">Contact Person:</w:t>
      </w:r>
      <w:r>
        <w:t xml:space="preserve"> Duane Hammons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provides guidance on the meaning and application of overtime pay requirements in KRS 337.285</w:t>
      </w:r>
    </w:p>
    <w:p>
      <w:pPr>
        <w:pStyle w:val="kar_normal"/>
        <w:ind w:left="576"/>
      </w:pPr>
      <w:r>
        <w:t xml:space="preserve">(b) The necessity of this administrative regulation:</w:t>
      </w:r>
    </w:p>
    <w:p>
      <w:pPr>
        <w:pStyle w:val="kar_normal"/>
        <w:ind w:left="720"/>
      </w:pPr>
      <w:r>
        <w:t xml:space="preserve">This administrative regulation is necessary to provide interpretation of the meaning of overtime pay requirements in KRS 337.285 to ensure employers are compliant with the statute.</w:t>
      </w:r>
    </w:p>
    <w:p>
      <w:pPr>
        <w:pStyle w:val="kar_normal"/>
        <w:ind w:left="576"/>
      </w:pPr>
      <w:r>
        <w:t xml:space="preserve">(c) How this administrative regulation conforms to the content of the authorizing statutes:</w:t>
      </w:r>
    </w:p>
    <w:p>
      <w:pPr>
        <w:pStyle w:val="kar_normal"/>
        <w:ind w:left="720"/>
      </w:pPr>
      <w:r>
        <w:t xml:space="preserve">KRS 337.295 authorizes the commissioner to promulgate administrative regulations under KRS 337.275 to 337.325, 337.345, and 337.385 to 337.405.</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guidance on how the Department will interpret the overtime pay requirements in KRS 337.285 to ensure employers are compliant with the statute.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will correct typographical errors in the regulation.</w:t>
      </w:r>
    </w:p>
    <w:p>
      <w:pPr>
        <w:pStyle w:val="kar_normal"/>
        <w:ind w:left="576"/>
      </w:pPr>
      <w:r>
        <w:t xml:space="preserve">(b) The necessity of the amendment to this administrative regulation:</w:t>
      </w:r>
    </w:p>
    <w:p>
      <w:pPr>
        <w:pStyle w:val="kar_normal"/>
        <w:ind w:left="720"/>
      </w:pPr>
      <w:r>
        <w:t xml:space="preserve">Fixing the typographical errors in the regulation will ensure greater clarity in understanding of the regulation.</w:t>
      </w:r>
    </w:p>
    <w:p>
      <w:pPr>
        <w:pStyle w:val="kar_normal"/>
        <w:ind w:left="576"/>
      </w:pPr>
      <w:r>
        <w:t xml:space="preserve">(c) How the amendment conforms to the content of the authorizing statutes:</w:t>
      </w:r>
    </w:p>
    <w:p>
      <w:pPr>
        <w:pStyle w:val="kar_normal"/>
        <w:ind w:left="720"/>
      </w:pPr>
      <w:r>
        <w:t xml:space="preserve">KRS 337.295 authorizes the Commissioner to issue regulations and therefore these amendments.</w:t>
      </w:r>
    </w:p>
    <w:p>
      <w:pPr>
        <w:pStyle w:val="kar_normal"/>
        <w:ind w:left="576"/>
      </w:pPr>
      <w:r>
        <w:t xml:space="preserve">(d) How the amendment will assist in the effective administration of the statutes:</w:t>
      </w:r>
    </w:p>
    <w:p>
      <w:pPr>
        <w:pStyle w:val="kar_normal"/>
        <w:ind w:left="720"/>
      </w:pPr>
      <w:r>
        <w:t xml:space="preserve">By addressing typographical errors, the amendment will ensure greater clarity in the understanding of the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all subject employers who employ employees in the Commonwealth subject to KRS Chapter 337, as well as, their employees.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compliance duties are required by this administrative regulation as it is replacing 803 KAR 1:060.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additional cost associated with this administrative regulation as it is replacing 803 KAR 1:060.</w:t>
      </w:r>
    </w:p>
    <w:p>
      <w:pPr>
        <w:pStyle w:val="kar_normal"/>
        <w:ind w:left="576"/>
      </w:pPr>
      <w:r>
        <w:t xml:space="preserve">(c) As a result of compliance, what benefits will accrue to the entities identified in question (3):</w:t>
      </w:r>
    </w:p>
    <w:p>
      <w:pPr>
        <w:pStyle w:val="kar_normal"/>
        <w:ind w:left="720"/>
      </w:pPr>
      <w:r>
        <w:t xml:space="preserve">Improved employee protection and guidance for overtime pay requirements.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is not anticipated to generate any new or additional costs as it is replacing 803 KAR 1:060.</w:t>
      </w:r>
    </w:p>
    <w:p>
      <w:pPr>
        <w:pStyle w:val="kar_normal"/>
        <w:ind w:left="576"/>
      </w:pPr>
      <w:r>
        <w:t xml:space="preserve">(b) On a continuing basis:</w:t>
      </w:r>
    </w:p>
    <w:p>
      <w:pPr>
        <w:pStyle w:val="kar_normal"/>
        <w:ind w:left="720"/>
      </w:pPr>
      <w:r>
        <w:t xml:space="preserve">This administrative regulation is not anticipated to generate any new or additional costs as it is replacing 803 KAR 1:060.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Current state funding.</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This administrative regulation not anticipated to generate any increase in fees or funding as it is replacing 803 KAR 1:060. </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There are no fees associated with this administrative regulation.</w:t>
      </w:r>
    </w:p>
    <w:p>
      <w:pPr>
        <w:pStyle w:val="kar_normal"/>
        <w:ind w:left="288"/>
      </w:pPr>
      <w:r>
        <w:t xml:space="preserve">(9) TIERING: Is tiering applied?</w:t>
      </w:r>
    </w:p>
    <w:p>
      <w:pPr>
        <w:pStyle w:val="kar_normal"/>
        <w:ind w:left="432"/>
      </w:pPr>
      <w:r>
        <w:t xml:space="preserve">Tiering is not applied. All employers and employees covered by KRS Chapter 337 are treated equally.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Most state and local governmental entities are subject to KRS Chapter 337.</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337.295.</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w:t>
      </w:r>
    </w:p>
    <w:p>
      <w:pPr>
        <w:pStyle w:val="kar_normal"/>
        <w:ind w:left="576"/>
      </w:pPr>
      <w:r>
        <w:t xml:space="preserve">(c) How much will it cost to administer this program for the first year?</w:t>
      </w:r>
    </w:p>
    <w:p>
      <w:pPr>
        <w:pStyle w:val="kar_normal"/>
        <w:ind w:left="720"/>
      </w:pPr>
      <w:r>
        <w:t xml:space="preserve">There is no cost to this administrative regulation as it is replacing 803 KAR 1:060.</w:t>
      </w:r>
    </w:p>
    <w:p>
      <w:pPr>
        <w:pStyle w:val="kar_normal"/>
        <w:ind w:left="576"/>
      </w:pPr>
      <w:r>
        <w:t xml:space="preserve">(d) How much will it cost to administer this program for subsequent years?</w:t>
      </w:r>
    </w:p>
    <w:p>
      <w:pPr>
        <w:pStyle w:val="kar_normal"/>
        <w:ind w:left="720"/>
      </w:pPr>
      <w:r>
        <w:t xml:space="preserve">There is no cost to this administrative regulation as it is replacing 803 KAR 1:060.</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Unknown</w:t>
      </w:r>
    </w:p>
    <w:p>
      <w:pPr>
        <w:pStyle w:val="kar_normal"/>
        <w:ind w:left="288"/>
      </w:pPr>
      <w:r>
        <w:t xml:space="preserve">Expenditures (+/-):</w:t>
      </w:r>
      <w:r>
        <w:t xml:space="preserve"> Unknown</w:t>
      </w:r>
    </w:p>
    <w:p>
      <w:pPr>
        <w:pStyle w:val="kar_normal"/>
        <w:ind w:left="288"/>
      </w:pPr>
      <w:r>
        <w:t xml:space="preserve">Other Explanation:</w:t>
      </w:r>
    </w:p>
    <w:p>
      <w:pPr>
        <w:pStyle w:val="kar_normal"/>
        <w:ind w:left="432"/>
      </w:pPr>
      <w:r>
        <w:t xml:space="preserve">This administrative regulation does not impose any additional requirements or expenditures as it is replacing 803 KAR 1:061.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dca64e75d64a5f" /><Relationship Type="http://schemas.openxmlformats.org/officeDocument/2006/relationships/settings" Target="/word/settings.xml" Id="Rf6117896f5884cd2" /></Relationships>
</file>