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ccc818120244c8"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at ARRS Committee)</w:t>
      </w:r>
    </w:p>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rPr>
          <w:b/>
          <w:i/>
          <w:u w:val="single"/>
        </w:rPr>
        <w:t xml:space="preserve">"CDL testing location" means the department's regional CDL testing offices.</w:t>
      </w:r>
    </w:p>
    <w:p>
      <w:pPr>
        <w:pStyle w:val="kar_subsection"/>
      </w:pPr>
      <w:r>
        <w:rPr>
          <w:b/>
          <w:i/>
          <w:u w:val="single"/>
        </w:rPr>
        <w:t xml:space="preserve">(3)</w:t>
      </w:r>
      <w:r>
        <w:t xml:space="preserve"> </w:t>
      </w:r>
      <w:r>
        <w:t xml:space="preserve">"Determination of No Security Threat" is defined by 49 C.F.R. 1572.15(d)(1).</w:t>
      </w:r>
    </w:p>
    <w:p>
      <w:pPr>
        <w:pStyle w:val="kar_subsection"/>
      </w:pPr>
      <w:r>
        <w:rPr>
          <w:b/>
          <w:i/>
          <w:u w:val="single"/>
        </w:rPr>
        <w:t xml:space="preserve">(4)</w:t>
      </w:r>
      <w:r>
        <w:t>[</w:t>
      </w:r>
      <w:r>
        <w:rPr>
          <w:b/>
          <w:i/>
          <w:strike w:val="true"/>
        </w:rPr>
        <w:t xml:space="preserve">(3)</w:t>
      </w:r>
      <w:r>
        <w:t>]</w:t>
      </w:r>
      <w:r>
        <w:t xml:space="preserve"> </w:t>
      </w:r>
      <w:r>
        <w:t xml:space="preserve">"DOT" means the federal Department of Transportation.</w:t>
      </w:r>
    </w:p>
    <w:p>
      <w:pPr>
        <w:pStyle w:val="kar_subsection"/>
      </w:pPr>
      <w:r>
        <w:rPr>
          <w:b/>
          <w:i/>
          <w:u w:val="single"/>
        </w:rPr>
        <w:t xml:space="preserve">(5)</w:t>
      </w:r>
      <w:r>
        <w:t>[</w:t>
      </w:r>
      <w:r>
        <w:rPr>
          <w:b/>
          <w:i/>
          <w:strike w:val="true"/>
        </w:rPr>
        <w:t xml:space="preserve">(4)</w:t>
      </w:r>
      <w:r>
        <w:t>]</w:t>
      </w:r>
      <w:r>
        <w:t xml:space="preserve"> </w:t>
      </w:r>
      <w:r>
        <w:t xml:space="preserve">"Final Determination of Threat Assessment" is defined by 49 C.F.R. 1572.15(d)(4).</w:t>
      </w:r>
    </w:p>
    <w:p>
      <w:pPr>
        <w:pStyle w:val="kar_subsection"/>
      </w:pPr>
      <w:r>
        <w:t>[</w:t>
      </w:r>
      <w:r>
        <w:rPr>
          <w:b/>
          <w:i/>
          <w:strike w:val="true"/>
        </w:rPr>
        <w:t xml:space="preserve">(5)</w:t>
      </w:r>
      <w:r>
        <w:t>]</w:t>
      </w:r>
      <w:r>
        <w:t xml:space="preserve"> </w:t>
      </w:r>
      <w:r>
        <w:t>[</w:t>
      </w:r>
      <w:r>
        <w:rPr>
          <w:b/>
          <w:i/>
          <w:strike w:val="true"/>
        </w:rPr>
        <w:t xml:space="preserve">"Fingerprint centers" means</w:t>
      </w:r>
      <w:r>
        <w:rPr>
          <w:b/>
          <w:i/>
          <w:strike w:val="true"/>
          <w:u w:val="single"/>
        </w:rPr>
        <w:t xml:space="preserve"> the department's</w:t>
      </w:r>
      <w:r>
        <w:rPr>
          <w:b/>
          <w:i/>
          <w:strike w:val="true"/>
        </w:rPr>
        <w:t xml:space="preserve"> regional offices</w:t>
      </w:r>
      <w:r>
        <w:t>]</w:t>
      </w:r>
      <w:r>
        <w:t>[</w:t>
      </w:r>
      <w:r>
        <w:rPr>
          <w:strike w:val="true"/>
        </w:rPr>
        <w:t xml:space="preserve"> of Kentucky State Police's Division of Driver's Testing</w:t>
      </w:r>
      <w:r>
        <w:t>]</w:t>
      </w:r>
      <w:r>
        <w:t>[</w:t>
      </w:r>
      <w:r>
        <w:rPr>
          <w:b/>
          <w:i/>
          <w:strike w:val="true"/>
        </w:rPr>
        <w:t xml:space="preserve"> established to process the fingerprints of applicants for a hazardous materials endorsement for a commercial driver's license holder under KRS 281A.170(2)(b).</w:t>
      </w:r>
      <w:r>
        <w:t>]</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w:t>
      </w:r>
      <w:r>
        <w:rPr>
          <w:b/>
          <w:i/>
          <w:u w:val="single"/>
        </w:rPr>
        <w:t xml:space="preserve">The applicant shall submit application information in accordance with 49 C.F.R. 1572.9.</w:t>
      </w:r>
      <w:r>
        <w:t>[</w:t>
      </w:r>
      <w:r>
        <w:rPr>
          <w:strike w:val="true"/>
          <w:u w:val="single"/>
        </w:rPr>
        <w:t xml:space="preserve">A</w:t>
      </w:r>
      <w:r>
        <w:rPr>
          <w:strike w:val="true"/>
        </w:rPr>
        <w:t xml:space="preserve"> In order to receive the security threat assessment, the applicant shall complete a</w:t>
      </w:r>
      <w:r>
        <w:t>]</w:t>
      </w:r>
      <w:r>
        <w:t>[</w:t>
      </w:r>
      <w:r>
        <w:rPr>
          <w:b/>
          <w:i/>
          <w:strike w:val="true"/>
        </w:rPr>
        <w:t xml:space="preserve"> "Transportation Security Administration Application for a Hazardous Materials Endorsement," OMB No. 1652-0027, containing all information necessary for the TSA to complete the required assessment as described in 49 C.F.R. 1572.9</w:t>
      </w:r>
      <w:r>
        <w:rPr>
          <w:b/>
          <w:i/>
          <w:strike w:val="true"/>
          <w:u w:val="single"/>
        </w:rPr>
        <w:t xml:space="preserve"> shall be submitted by the applicant</w:t>
      </w:r>
      <w:r>
        <w:rPr>
          <w:b/>
          <w:i/>
          <w:strike w:val="true"/>
        </w:rPr>
        <w:t xml:space="preserve">.</w:t>
      </w:r>
      <w:r>
        <w:t>]</w:t>
      </w:r>
      <w:r>
        <w:t xml:space="preserve">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w:t>
      </w:r>
      <w:r>
        <w:rPr>
          <w:b/>
          <w:i/>
          <w:u w:val="single"/>
        </w:rPr>
        <w:t xml:space="preserve">and </w:t>
      </w:r>
      <w:r>
        <w:t>[</w:t>
      </w:r>
      <w:r>
        <w:rPr>
          <w:strike w:val="true"/>
        </w:rPr>
        <w:t xml:space="preserve">their DOT medical card, </w:t>
      </w:r>
      <w:r>
        <w:t>]</w:t>
      </w:r>
      <w:r>
        <w:t xml:space="preserve">a completed "Transportation Security Administration Application for a Hazardous Materials Endorsement," OMB No. 1652</w:t>
      </w:r>
      <w:r>
        <w:t>[</w:t>
      </w:r>
      <w:r>
        <w:rPr>
          <w:strike w:val="true"/>
        </w:rPr>
        <w:t xml:space="preserve">-0027</w:t>
      </w:r>
      <w:r>
        <w:t>]</w:t>
      </w:r>
      <w:r>
        <w:t>[</w:t>
      </w:r>
      <w:r>
        <w:rPr>
          <w:b/>
          <w:i/>
          <w:strike w:val="true"/>
        </w:rPr>
        <w:t xml:space="preserve">, and a certified check of $115 for the fingerprint fee</w:t>
      </w:r>
      <w:r>
        <w:t>]</w:t>
      </w:r>
      <w:r>
        <w:t xml:space="preserve">.</w:t>
      </w:r>
    </w:p>
    <w:p>
      <w:pPr>
        <w:pStyle w:val="kar_subsection"/>
      </w:pPr>
      <w:r>
        <w:t xml:space="preserve">(4)</w:t>
      </w:r>
      <w:r>
        <w:t xml:space="preserve"> </w:t>
      </w:r>
      <w:r>
        <w:rPr>
          <w:b/>
          <w:i/>
          <w:u w:val="single"/>
        </w:rPr>
        <w:t xml:space="preserve">An applicant shall pay a $115 fee for a fingerprint-based background check. The fee may be paid by:</w:t>
      </w:r>
    </w:p>
    <w:p>
      <w:pPr>
        <w:pStyle w:val="kar_paragraph"/>
      </w:pPr>
      <w:r>
        <w:rPr>
          <w:b/>
          <w:i/>
          <w:u w:val="single"/>
        </w:rPr>
        <w:t xml:space="preserve">(a)</w:t>
      </w:r>
      <w:r>
        <w:t xml:space="preserve"> </w:t>
      </w:r>
      <w:r>
        <w:rPr>
          <w:b/>
          <w:i/>
          <w:u w:val="single"/>
        </w:rPr>
        <w:t xml:space="preserve">Certified check;</w:t>
      </w:r>
    </w:p>
    <w:p>
      <w:pPr>
        <w:pStyle w:val="kar_paragraph"/>
      </w:pPr>
      <w:r>
        <w:rPr>
          <w:b/>
          <w:i/>
          <w:u w:val="single"/>
        </w:rPr>
        <w:t xml:space="preserve">(b)</w:t>
      </w:r>
      <w:r>
        <w:t xml:space="preserve"> </w:t>
      </w:r>
      <w:r>
        <w:rPr>
          <w:b/>
          <w:i/>
          <w:u w:val="single"/>
        </w:rPr>
        <w:t xml:space="preserve">Cashier's check;</w:t>
      </w:r>
    </w:p>
    <w:p>
      <w:pPr>
        <w:pStyle w:val="kar_paragraph"/>
      </w:pPr>
      <w:r>
        <w:rPr>
          <w:b/>
          <w:i/>
          <w:u w:val="single"/>
        </w:rPr>
        <w:t xml:space="preserve">(c)</w:t>
      </w:r>
      <w:r>
        <w:t xml:space="preserve"> </w:t>
      </w:r>
      <w:r>
        <w:rPr>
          <w:b/>
          <w:i/>
          <w:u w:val="single"/>
        </w:rPr>
        <w:t xml:space="preserve">Money order; or</w:t>
      </w:r>
    </w:p>
    <w:p>
      <w:pPr>
        <w:pStyle w:val="kar_paragraph"/>
      </w:pPr>
      <w:r>
        <w:rPr>
          <w:b/>
          <w:i/>
          <w:u w:val="single"/>
        </w:rPr>
        <w:t xml:space="preserve">(d)</w:t>
      </w:r>
      <w:r>
        <w:t xml:space="preserve"> </w:t>
      </w:r>
      <w:r>
        <w:rPr>
          <w:b/>
          <w:i/>
          <w:u w:val="single"/>
        </w:rPr>
        <w:t xml:space="preserve">Electronically before the appointment at https://secure.kentucky.gov/formservices/KSP/Hazmat_FP.</w:t>
      </w:r>
    </w:p>
    <w:p>
      <w:pPr>
        <w:pStyle w:val="kar_subsection"/>
      </w:pPr>
      <w:r>
        <w:rPr>
          <w:b/>
          <w:i/>
          <w:u w:val="single"/>
        </w:rPr>
        <w:t xml:space="preserve">(5)</w:t>
      </w:r>
      <w:r>
        <w:t xml:space="preserve"> </w:t>
      </w:r>
      <w:r>
        <w:t xml:space="preserve">An applicant shall be fingerprinted by KSP</w:t>
      </w:r>
      <w:r>
        <w:rPr>
          <w:b/>
          <w:i/>
          <w:u w:val="single"/>
        </w:rPr>
        <w:t xml:space="preserve"> at a regional CDL testing location</w:t>
      </w:r>
      <w:r>
        <w:t xml:space="preserve">. KSP shall send the fingerprints to the Federal Bureau of Investigation for a fingerprint-verified criminal background check and send the biographical information sheet to the TSA.</w:t>
      </w:r>
    </w:p>
    <w:p>
      <w:pPr>
        <w:pStyle w:val="kar_subsection"/>
      </w:pPr>
      <w:r>
        <w:rPr>
          <w:b/>
          <w:i/>
          <w:u w:val="single"/>
        </w:rPr>
        <w:t xml:space="preserve">(6)</w:t>
      </w:r>
      <w:r>
        <w:t>[</w:t>
      </w:r>
      <w:r>
        <w:rPr>
          <w:b/>
          <w:i/>
          <w:strike w:val="true"/>
        </w:rPr>
        <w:t xml:space="preserve">(5)</w:t>
      </w:r>
      <w:r>
        <w:t>]</w:t>
      </w:r>
      <w:r>
        <w:t xml:space="preserve"> </w:t>
      </w:r>
      <w:r>
        <w:t xml:space="preserve">If TSA informs the Commonwealth of a finding of Determination of No Security Threat, then the applicant shall be notified by the Transportation Cabinet</w:t>
      </w:r>
      <w:r>
        <w:rPr>
          <w:u w:val="single"/>
        </w:rPr>
        <w:t xml:space="preserve"> that he or she is eligible</w:t>
      </w:r>
      <w:r>
        <w:t>[</w:t>
      </w:r>
      <w:r>
        <w:rPr>
          <w:strike w:val="true"/>
        </w:rPr>
        <w:t xml:space="preserve">and may proceed to the circuit clerk's office</w:t>
      </w:r>
      <w:r>
        <w:t>]</w:t>
      </w:r>
      <w:r>
        <w:t xml:space="preserve"> to take the knowledge test required to qualify for the HME.</w:t>
      </w:r>
    </w:p>
    <w:p>
      <w:pPr>
        <w:pStyle w:val="kar_subsection"/>
      </w:pPr>
      <w:r>
        <w:rPr>
          <w:b/>
          <w:i/>
          <w:u w:val="single"/>
        </w:rPr>
        <w:t xml:space="preserve">(7)</w:t>
      </w:r>
      <w:r>
        <w:t>[</w:t>
      </w:r>
      <w:r>
        <w:rPr>
          <w:b/>
          <w:i/>
          <w:strike w:val="true"/>
        </w:rPr>
        <w:t xml:space="preserve">(6)</w:t>
      </w:r>
      <w:r>
        <w:t>]</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rPr>
          <w:b/>
          <w:i/>
          <w:u w:val="single"/>
        </w:rPr>
        <w:t xml:space="preserve">(8)</w:t>
      </w:r>
      <w:r>
        <w:t>[</w:t>
      </w:r>
      <w:r>
        <w:rPr>
          <w:b/>
          <w:i/>
          <w:strike w:val="true"/>
        </w:rPr>
        <w:t xml:space="preserve">(7)</w:t>
      </w:r>
      <w:r>
        <w:t>]</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w:t>
      </w:r>
      <w:r>
        <w:t>[</w:t>
      </w:r>
      <w:r>
        <w:rPr>
          <w:strike w:val="true"/>
        </w:rPr>
        <w:t xml:space="preserve">the applicant's DOT medical card,</w:t>
      </w:r>
      <w:r>
        <w:t>]</w:t>
      </w:r>
      <w:r>
        <w:t xml:space="preserve"> a completed "Transportation Security Administration Application for a Hazardous Materials Endorsement," OMB No. 1652-0027</w:t>
      </w:r>
      <w:r>
        <w:t>[</w:t>
      </w:r>
      <w:r>
        <w:rPr>
          <w:b/>
          <w:i/>
          <w:strike w:val="true"/>
        </w:rPr>
        <w:t xml:space="preserve">, and a certified check of $115 for the fingerprint fee</w:t>
      </w:r>
      <w:r>
        <w:t>]</w:t>
      </w:r>
      <w:r>
        <w:t xml:space="preserve">.</w:t>
      </w:r>
    </w:p>
    <w:p>
      <w:pPr>
        <w:pStyle w:val="kar_subsection"/>
      </w:pPr>
      <w:r>
        <w:t xml:space="preserve">(5)</w:t>
      </w:r>
      <w:r>
        <w:t xml:space="preserve"> </w:t>
      </w:r>
      <w:r>
        <w:rPr>
          <w:b/>
          <w:i/>
          <w:u w:val="single"/>
        </w:rPr>
        <w:t xml:space="preserve">A renewal applicant shall pay a $115 fee for a fingerprint-based background check. The fee may be paid by:</w:t>
      </w:r>
    </w:p>
    <w:p>
      <w:pPr>
        <w:pStyle w:val="kar_paragraph"/>
      </w:pPr>
      <w:r>
        <w:rPr>
          <w:b/>
          <w:i/>
          <w:u w:val="single"/>
        </w:rPr>
        <w:t xml:space="preserve">(a)</w:t>
      </w:r>
      <w:r>
        <w:t xml:space="preserve"> </w:t>
      </w:r>
      <w:r>
        <w:rPr>
          <w:b/>
          <w:i/>
          <w:u w:val="single"/>
        </w:rPr>
        <w:t xml:space="preserve">Certified check;</w:t>
      </w:r>
    </w:p>
    <w:p>
      <w:pPr>
        <w:pStyle w:val="kar_paragraph"/>
      </w:pPr>
      <w:r>
        <w:rPr>
          <w:b/>
          <w:i/>
          <w:u w:val="single"/>
        </w:rPr>
        <w:t xml:space="preserve">(b)</w:t>
      </w:r>
      <w:r>
        <w:t xml:space="preserve"> </w:t>
      </w:r>
      <w:r>
        <w:rPr>
          <w:b/>
          <w:i/>
          <w:u w:val="single"/>
        </w:rPr>
        <w:t xml:space="preserve">Cashier's check;</w:t>
      </w:r>
    </w:p>
    <w:p>
      <w:pPr>
        <w:pStyle w:val="kar_paragraph"/>
      </w:pPr>
      <w:r>
        <w:rPr>
          <w:b/>
          <w:i/>
          <w:u w:val="single"/>
        </w:rPr>
        <w:t xml:space="preserve">(c)</w:t>
      </w:r>
      <w:r>
        <w:t xml:space="preserve"> </w:t>
      </w:r>
      <w:r>
        <w:rPr>
          <w:b/>
          <w:i/>
          <w:u w:val="single"/>
        </w:rPr>
        <w:t xml:space="preserve">Money order; or</w:t>
      </w:r>
    </w:p>
    <w:p>
      <w:pPr>
        <w:pStyle w:val="kar_paragraph"/>
      </w:pPr>
      <w:r>
        <w:rPr>
          <w:b/>
          <w:i/>
          <w:u w:val="single"/>
        </w:rPr>
        <w:t xml:space="preserve">(d)</w:t>
      </w:r>
      <w:r>
        <w:t xml:space="preserve"> </w:t>
      </w:r>
      <w:r>
        <w:rPr>
          <w:b/>
          <w:i/>
          <w:u w:val="single"/>
        </w:rPr>
        <w:t xml:space="preserve">Electronically before the appointment at https://secure.kentucky.gov/formservices/KSP/Hazmat_FP.</w:t>
      </w:r>
    </w:p>
    <w:p>
      <w:pPr>
        <w:pStyle w:val="kar_subsection"/>
      </w:pPr>
      <w:r>
        <w:rPr>
          <w:b/>
          <w:i/>
          <w:u w:val="single"/>
        </w:rPr>
        <w:t xml:space="preserve">(6)</w:t>
      </w:r>
      <w:r>
        <w:t xml:space="preserve"> </w:t>
      </w:r>
      <w:r>
        <w:t xml:space="preserve">A renewal applicant shall be fingerprinted by KSP</w:t>
      </w:r>
      <w:r>
        <w:rPr>
          <w:b/>
          <w:i/>
          <w:u w:val="single"/>
        </w:rPr>
        <w:t xml:space="preserve">at a regional CDL testing location</w:t>
      </w:r>
      <w:r>
        <w:t xml:space="preserve">. KSP shall send the fingerprints to the Federal Bureau of Investigation for a fingerprint verified criminal background check and send the biographical information sheet to the TSA.</w:t>
      </w:r>
    </w:p>
    <w:p>
      <w:pPr>
        <w:pStyle w:val="kar_subsection"/>
      </w:pPr>
      <w:r>
        <w:rPr>
          <w:b/>
          <w:i/>
          <w:u w:val="single"/>
        </w:rPr>
        <w:t xml:space="preserve">(7)</w:t>
      </w:r>
      <w:r>
        <w:t>[</w:t>
      </w:r>
      <w:r>
        <w:rPr>
          <w:b/>
          <w:i/>
          <w:strike w:val="true"/>
        </w:rPr>
        <w:t xml:space="preserve">(6)</w:t>
      </w:r>
      <w:r>
        <w:t>]</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rPr>
          <w:b/>
          <w:i/>
          <w:u w:val="single"/>
        </w:rPr>
        <w:t xml:space="preserve">(8)</w:t>
      </w:r>
      <w:r>
        <w:t>[</w:t>
      </w:r>
      <w:r>
        <w:rPr>
          <w:b/>
          <w:i/>
          <w:strike w:val="true"/>
        </w:rPr>
        <w:t xml:space="preserve">(7)</w:t>
      </w:r>
      <w:r>
        <w:t>]</w:t>
      </w:r>
      <w:r>
        <w:t xml:space="preserve"> </w:t>
      </w:r>
      <w:r>
        <w:t xml:space="preserve">If TSA informs the Commonwealth of a finding of Determination of No Security Threat, then the renewal applicant shall be notified by the Transportation Cabinet</w:t>
      </w:r>
      <w:r>
        <w:rPr>
          <w:u w:val="single"/>
        </w:rPr>
        <w:t xml:space="preserve"> that he or she is eligible</w:t>
      </w:r>
      <w:r>
        <w:t>[</w:t>
      </w:r>
      <w:r>
        <w:rPr>
          <w:strike w:val="true"/>
        </w:rPr>
        <w:t xml:space="preserve">and may proceed to the circuit clerk's office</w:t>
      </w:r>
      <w:r>
        <w:t>]</w:t>
      </w:r>
      <w:r>
        <w:t xml:space="preserve"> to take the knowledge test required to qualify for the HME.</w:t>
      </w:r>
    </w:p>
    <w:p>
      <w:pPr>
        <w:pStyle w:val="kar_subsection"/>
      </w:pPr>
      <w:r>
        <w:rPr>
          <w:b/>
          <w:i/>
          <w:u w:val="single"/>
        </w:rPr>
        <w:t xml:space="preserve">(9)</w:t>
      </w:r>
      <w:r>
        <w:t>[</w:t>
      </w:r>
      <w:r>
        <w:rPr>
          <w:b/>
          <w:i/>
          <w:strike w:val="true"/>
        </w:rPr>
        <w:t xml:space="preserve">(8)</w:t>
      </w:r>
      <w:r>
        <w:t>]</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rPr>
          <w:b/>
          <w:i/>
          <w:u w:val="single"/>
        </w:rPr>
        <w:t xml:space="preserve">(10)</w:t>
      </w:r>
      <w:r>
        <w:t>[</w:t>
      </w:r>
      <w:r>
        <w:rPr>
          <w:b/>
          <w:i/>
          <w:strike w:val="true"/>
        </w:rPr>
        <w:t xml:space="preserve">(9)</w:t>
      </w:r>
      <w:r>
        <w:t>]</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rPr>
          <w:b/>
          <w:i/>
          <w:u w:val="single"/>
        </w:rPr>
        <w:t xml:space="preserve">(11)</w:t>
      </w:r>
      <w:r>
        <w:t>[</w:t>
      </w:r>
      <w:r>
        <w:rPr>
          <w:b/>
          <w:i/>
          <w:strike w:val="true"/>
        </w:rPr>
        <w:t xml:space="preserve">(10)</w:t>
      </w:r>
      <w:r>
        <w:t>]</w:t>
      </w:r>
      <w:r>
        <w:t xml:space="preserve"> </w:t>
      </w:r>
      <w:r>
        <w:t xml:space="preserve">An applicant who has received a passing score on the HME test and is applying for a Class C CDL with a hazardous </w:t>
      </w:r>
      <w:r>
        <w:rPr>
          <w:b/>
          <w:i/>
          <w:u w:val="single"/>
        </w:rPr>
        <w:t xml:space="preserve">materials </w:t>
      </w:r>
      <w:r>
        <w:t xml:space="preserve">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section"/>
      </w:pPr>
      <w:r>
        <w:t>[</w:t>
      </w:r>
      <w:r>
        <w:rPr>
          <w:b/>
          <w:i/>
          <w:strike w:val="true"/>
        </w:rPr>
        <w:t xml:space="preserve">Section 5.</w:t>
      </w:r>
      <w:r>
        <w:t>]</w:t>
      </w:r>
      <w:r>
        <w:t xml:space="preserve"> </w:t>
      </w:r>
      <w:r>
        <w:t>[</w:t>
      </w:r>
      <w:r>
        <w:rPr>
          <w:b/>
          <w:i/>
          <w:strike w:val="true"/>
        </w:rPr>
        <w:t xml:space="preserve">Regional Fingerprint Centers. KSP shall</w:t>
      </w:r>
      <w:r>
        <w:rPr>
          <w:b/>
          <w:i/>
          <w:strike w:val="true"/>
          <w:u w:val="single"/>
        </w:rPr>
        <w:t xml:space="preserve"> provide fingerprinting centers, regionally situated to provide efficient coverage of the state. Locations of the regional fingerprinting centers shall be published on the department's website</w:t>
      </w:r>
      <w:r>
        <w:t>]</w:t>
      </w:r>
      <w:r>
        <w:t>[</w:t>
      </w:r>
      <w:r>
        <w:rPr>
          <w:strike w:val="true"/>
        </w:rPr>
        <w:t xml:space="preserve">have eight (8) regional fingerprinting centers in the Commonwealth. These centers shall be located in the following cities:</w:t>
      </w:r>
      <w:r>
        <w:t>]</w:t>
      </w:r>
    </w:p>
    <w:p>
      <w:pPr>
        <w:pStyle w:val="kar_subsection"/>
      </w:pPr>
      <w:r>
        <w:t>[</w:t>
      </w:r>
      <w:r>
        <w:rPr>
          <w:strike w:val="true"/>
        </w:rPr>
        <w:t xml:space="preserve">(1)</w:t>
      </w:r>
      <w:r>
        <w:t>]</w:t>
      </w:r>
      <w:r>
        <w:t xml:space="preserve"> </w:t>
      </w:r>
      <w:r>
        <w:t>[</w:t>
      </w:r>
      <w:r>
        <w:rPr>
          <w:strike w:val="true"/>
        </w:rPr>
        <w:t xml:space="preserve">Lexington at 162 East Main Street, Room 201, Lexington, Kentucky 40507;</w:t>
      </w:r>
      <w:r>
        <w:t>]</w:t>
      </w:r>
    </w:p>
    <w:p>
      <w:pPr>
        <w:pStyle w:val="kar_subsection"/>
      </w:pPr>
      <w:r>
        <w:t>[</w:t>
      </w:r>
      <w:r>
        <w:rPr>
          <w:strike w:val="true"/>
        </w:rPr>
        <w:t xml:space="preserve">(2)</w:t>
      </w:r>
      <w:r>
        <w:t>]</w:t>
      </w:r>
      <w:r>
        <w:t xml:space="preserve"> </w:t>
      </w:r>
      <w:r>
        <w:t>[</w:t>
      </w:r>
      <w:r>
        <w:rPr>
          <w:strike w:val="true"/>
        </w:rPr>
        <w:t xml:space="preserve">Louisville at Bowman Field, 3501 Roger E. Schupp Street, Louisville, Kentucky 40205;</w:t>
      </w:r>
      <w:r>
        <w:t>]</w:t>
      </w:r>
    </w:p>
    <w:p>
      <w:pPr>
        <w:pStyle w:val="kar_subsection"/>
      </w:pPr>
      <w:r>
        <w:t>[</w:t>
      </w:r>
      <w:r>
        <w:rPr>
          <w:strike w:val="true"/>
        </w:rPr>
        <w:t xml:space="preserve">(3)</w:t>
      </w:r>
      <w:r>
        <w:t>]</w:t>
      </w:r>
      <w:r>
        <w:t xml:space="preserve"> </w:t>
      </w:r>
      <w:r>
        <w:t>[</w:t>
      </w:r>
      <w:r>
        <w:rPr>
          <w:strike w:val="true"/>
        </w:rPr>
        <w:t xml:space="preserve">Erlanger at 645 Stevenson Road, Erlanger, Kentucky 41018;</w:t>
      </w:r>
      <w:r>
        <w:t>]</w:t>
      </w:r>
    </w:p>
    <w:p>
      <w:pPr>
        <w:pStyle w:val="kar_subsection"/>
      </w:pPr>
      <w:r>
        <w:t>[</w:t>
      </w:r>
      <w:r>
        <w:rPr>
          <w:strike w:val="true"/>
        </w:rPr>
        <w:t xml:space="preserve">(4)</w:t>
      </w:r>
      <w:r>
        <w:t>]</w:t>
      </w:r>
      <w:r>
        <w:t xml:space="preserve"> </w:t>
      </w:r>
      <w:r>
        <w:t>[</w:t>
      </w:r>
      <w:r>
        <w:rPr>
          <w:strike w:val="true"/>
        </w:rPr>
        <w:t xml:space="preserve">Paducah at McCracken County Courthouse, South 7th, Paducah, Kentucky 42003;</w:t>
      </w:r>
      <w:r>
        <w:t>]</w:t>
      </w:r>
    </w:p>
    <w:p>
      <w:pPr>
        <w:pStyle w:val="kar_subsection"/>
      </w:pPr>
      <w:r>
        <w:t>[</w:t>
      </w:r>
      <w:r>
        <w:rPr>
          <w:strike w:val="true"/>
        </w:rPr>
        <w:t xml:space="preserve">(5)</w:t>
      </w:r>
      <w:r>
        <w:t>]</w:t>
      </w:r>
      <w:r>
        <w:t xml:space="preserve"> </w:t>
      </w:r>
      <w:r>
        <w:t>[</w:t>
      </w:r>
      <w:r>
        <w:rPr>
          <w:strike w:val="true"/>
        </w:rPr>
        <w:t xml:space="preserve">Madisonville at Hopkins County Courthouse, Main Street, Room 11, Madisonville, Kentucky 42431;</w:t>
      </w:r>
      <w:r>
        <w:t>]</w:t>
      </w:r>
    </w:p>
    <w:p>
      <w:pPr>
        <w:pStyle w:val="kar_subsection"/>
      </w:pPr>
      <w:r>
        <w:t>[</w:t>
      </w:r>
      <w:r>
        <w:rPr>
          <w:strike w:val="true"/>
        </w:rPr>
        <w:t xml:space="preserve">(6)</w:t>
      </w:r>
      <w:r>
        <w:t>]</w:t>
      </w:r>
      <w:r>
        <w:t xml:space="preserve"> </w:t>
      </w:r>
      <w:r>
        <w:t>[</w:t>
      </w:r>
      <w:r>
        <w:rPr>
          <w:strike w:val="true"/>
        </w:rPr>
        <w:t xml:space="preserve">Bowling Green at Warren County Courthouse, 1001 Center Street, Room 103, Bowling Green, Kentucky 42101;</w:t>
      </w:r>
      <w:r>
        <w:t>]</w:t>
      </w:r>
    </w:p>
    <w:p>
      <w:pPr>
        <w:pStyle w:val="kar_subsection"/>
      </w:pPr>
      <w:r>
        <w:t>[</w:t>
      </w:r>
      <w:r>
        <w:rPr>
          <w:strike w:val="true"/>
        </w:rPr>
        <w:t xml:space="preserve">(7)</w:t>
      </w:r>
      <w:r>
        <w:t>]</w:t>
      </w:r>
      <w:r>
        <w:t xml:space="preserve"> </w:t>
      </w:r>
      <w:r>
        <w:t>[</w:t>
      </w:r>
      <w:r>
        <w:rPr>
          <w:strike w:val="true"/>
        </w:rPr>
        <w:t xml:space="preserve">London at 225 West 5th Street (corner of 5th and Long Street), London, Kentucky 40743; and</w:t>
      </w:r>
      <w:r>
        <w:t>]</w:t>
      </w:r>
    </w:p>
    <w:p>
      <w:pPr>
        <w:pStyle w:val="kar_subsection"/>
      </w:pPr>
      <w:r>
        <w:t>[</w:t>
      </w:r>
      <w:r>
        <w:rPr>
          <w:strike w:val="true"/>
        </w:rPr>
        <w:t xml:space="preserve">(8)</w:t>
      </w:r>
      <w:r>
        <w:t>]</w:t>
      </w:r>
      <w:r>
        <w:t xml:space="preserve"> </w:t>
      </w:r>
      <w:r>
        <w:t>[</w:t>
      </w:r>
      <w:r>
        <w:rPr>
          <w:strike w:val="true"/>
        </w:rPr>
        <w:t xml:space="preserve">Paintsville at Johnson County Courthouse, Court Street, 2nd Floor, Paintsville, Kentucky 41240</w:t>
      </w:r>
      <w:r>
        <w:t>]</w:t>
      </w:r>
      <w:r>
        <w:t>[</w:t>
      </w:r>
      <w:r>
        <w:rPr>
          <w:b/>
          <w:i/>
          <w:strike w:val="true"/>
        </w:rPr>
        <w:t xml:space="preserve">.</w:t>
      </w:r>
      <w:r>
        <w:t>]</w:t>
      </w:r>
    </w:p>
    <w:p>
      <w:pPr>
        <w:pStyle w:val="kar_section"/>
      </w:pPr>
      <w:r>
        <w:t>[</w:t>
      </w:r>
      <w:r>
        <w:rPr>
          <w:b/>
          <w:i/>
          <w:strike w:val="true"/>
        </w:rPr>
        <w:t xml:space="preserve">Section 6.</w:t>
      </w:r>
      <w:r>
        <w:t>]</w:t>
      </w:r>
      <w:r>
        <w:t xml:space="preserve"> </w:t>
      </w:r>
      <w:r>
        <w:t>[</w:t>
      </w:r>
      <w:r>
        <w:rPr>
          <w:b/>
          <w:i/>
          <w:strike w:val="true"/>
        </w:rPr>
        <w:t xml:space="preserve">Incorporation by Reference.</w:t>
      </w:r>
      <w:r>
        <w:t>]</w:t>
      </w:r>
    </w:p>
    <w:p>
      <w:pPr>
        <w:pStyle w:val="kar_subsection"/>
      </w:pPr>
      <w:r>
        <w:t>[</w:t>
      </w:r>
      <w:r>
        <w:rPr>
          <w:b/>
          <w:i/>
          <w:strike w:val="true"/>
        </w:rPr>
        <w:t xml:space="preserve">(1)</w:t>
      </w:r>
      <w:r>
        <w:t>]</w:t>
      </w:r>
      <w:r>
        <w:t xml:space="preserve"> </w:t>
      </w:r>
      <w:r>
        <w:t>[</w:t>
      </w:r>
      <w:r>
        <w:rPr>
          <w:b/>
          <w:i/>
          <w:strike w:val="true"/>
        </w:rPr>
        <w:t xml:space="preserve">"Transportation Security Administration Application for a Hazardous Materials Endorsement" OMB No. 1652-0027, Exp. 1/31/08, is incorporated by reference.</w:t>
      </w:r>
      <w:r>
        <w:t>]</w:t>
      </w:r>
    </w:p>
    <w:p>
      <w:pPr>
        <w:pStyle w:val="kar_subsection"/>
      </w:pPr>
      <w:r>
        <w:t>[</w:t>
      </w:r>
      <w:r>
        <w:rPr>
          <w:b/>
          <w:i/>
          <w:strike w:val="true"/>
        </w:rPr>
        <w:t xml:space="preserve">(2)</w:t>
      </w:r>
      <w:r>
        <w:t>]</w:t>
      </w:r>
      <w:r>
        <w:t xml:space="preserve"> </w:t>
      </w:r>
      <w:r>
        <w:t>[</w:t>
      </w:r>
      <w:r>
        <w:rPr>
          <w:b/>
          <w:i/>
          <w:strike w:val="true"/>
        </w:rPr>
        <w:t xml:space="preserve">This material may be inspected, copied, or obtained, subject to applicable copyright law, at any KSP regional fingerprint centers, and at KSP Headquarters, 919 Versailles Road, Frankfort, Kentucky 40601, Monday through Friday, 8 a.m. to 4:30 p.m.</w:t>
      </w:r>
      <w:r>
        <w:t>]</w:t>
      </w:r>
    </w:p>
    <w:p>
      <w:pPr>
        <w:pStyle w:val="kar_filed"/>
      </w:pPr>
      <w:r>
        <w:t xml:space="preserve">FILED WITH LRC: July 14, 2022</w:t>
      </w:r>
    </w:p>
    <w:p>
      <w:pPr>
        <w:pStyle w:val="kar_contact_person"/>
      </w:pPr>
      <w:r>
        <w:t xml:space="preserve">CONTACT PERSON: Amy Barker, Assistant General Counsel, 125 Holmes Street, Frankfort, Kentucky 40601, phone (502) 564-8207,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817cc0bda04b61" /><Relationship Type="http://schemas.openxmlformats.org/officeDocument/2006/relationships/settings" Target="/word/settings.xml" Id="R29dbd0c512734e11" /></Relationships>
</file>