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77a03535eb4f99"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(Amended at ARRS Committee)</w:t>
      </w:r>
    </w:p>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CERTIFICATION STATEMENT: </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jc w:val="center"/>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jc w:val="center"/>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w:t>
      </w:r>
      <w:r>
        <w:rPr>
          <w:u w:val="single"/>
        </w:rPr>
        <w:t xml:space="preserve">,</w:t>
      </w:r>
      <w:r>
        <w:t xml:space="preserve">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w:t>
      </w:r>
      <w:r>
        <w:rPr>
          <w:b/>
          <w:i/>
          <w:u w:val="single"/>
        </w:rPr>
        <w:t xml:space="preserve">in writing</w:t>
      </w:r>
      <w:r>
        <w:t>[</w:t>
      </w:r>
      <w:r>
        <w:rPr>
          <w:b/>
          <w:i/>
          <w:strike w:val="true"/>
        </w:rPr>
        <w:t xml:space="preserve">on KLEC POPS Form S</w:t>
      </w:r>
      <w:r>
        <w:t>]</w:t>
      </w:r>
      <w:r>
        <w:t xml:space="preserve">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2021;</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w:t>
      </w:r>
      <w:r>
        <w:rPr>
          <w:u w:val="single"/>
        </w:rPr>
        <w:t xml:space="preserve">2022</w:t>
      </w:r>
      <w:r>
        <w:t>[</w:t>
      </w:r>
      <w:r>
        <w:rPr>
          <w:strike w:val="true"/>
        </w:rPr>
        <w:t xml:space="preserve">2021</w:t>
      </w:r>
      <w:r>
        <w:t>]</w:t>
      </w:r>
      <w:r>
        <w:t xml:space="preserve">;</w:t>
      </w:r>
    </w:p>
    <w:p>
      <w:pPr>
        <w:pStyle w:val="kar_paragraph"/>
      </w:pPr>
      <w:r>
        <w:t xml:space="preserve">(e)</w:t>
      </w:r>
      <w:r>
        <w:t xml:space="preserve"> </w:t>
      </w:r>
      <w:r>
        <w:t xml:space="preserve">"KLEC Form D-1 – All Standards Met – Inactive to Active Status", </w:t>
      </w:r>
      <w:r>
        <w:rPr>
          <w:b/>
          <w:i/>
          <w:u w:val="single"/>
        </w:rPr>
        <w:t xml:space="preserve">October </w:t>
      </w:r>
      <w:r>
        <w:rPr>
          <w:u w:val="single"/>
        </w:rPr>
        <w:t xml:space="preserve">2022</w:t>
      </w:r>
      <w:r>
        <w:t>[</w:t>
      </w:r>
      <w:r>
        <w:rPr>
          <w:strike w:val="true"/>
        </w:rPr>
        <w:t xml:space="preserve">2021</w:t>
      </w:r>
      <w:r>
        <w:t>]</w:t>
      </w:r>
      <w:r>
        <w:t xml:space="preserve">;</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 site at https://klecs.ky.gov/.</w:t>
      </w:r>
    </w:p>
    <w:p>
      <w:pPr>
        <w:pStyle w:val="kar_filed"/>
      </w:pPr>
      <w:r>
        <w:t xml:space="preserve">FILED WITH LRC: October 11, 2022</w:t>
      </w:r>
    </w:p>
    <w:p>
      <w:pPr>
        <w:pStyle w:val="kar_contact_person"/>
      </w:pPr>
      <w:r>
        <w:t xml:space="preserve">CONTACT PERSON: Amy V. Barker, Assistant General Counsel, Justice and Public Safety Cabinet, 125 Holmes Street, Frankfort, Kentucky 40601, phone (502) 564-8207, fax (502) 564-6686, email Justice.RegsContact@ky.gov.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2b40d1836c428f" /><Relationship Type="http://schemas.openxmlformats.org/officeDocument/2006/relationships/settings" Target="/word/settings.xml" Id="R9ed160f051eb4ed0" /></Relationships>
</file>