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adabe25c124d6c" /></Relationships>
</file>

<file path=word/document.xml><?xml version="1.0" encoding="utf-8"?>
<w:document xmlns:w="http://schemas.openxmlformats.org/wordprocessingml/2006/main">
  <w:body>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CERTIFICATION STATEMENT: </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KRS 342.035 requires a schedule of fees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2022 Kentucky Workers' Compensation Schedule of Fees for Physicians.</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2022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a specific monetary amount is not listed shall be determined and calculated in accordance with numerical paragraph six (6)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not be more than the maximum fee allowed for the service provided.</w:t>
      </w:r>
    </w:p>
    <w:p>
      <w:pPr>
        <w:pStyle w:val="kar_section"/>
      </w:pPr>
      <w:r>
        <w:t xml:space="preserve">Section 4.</w:t>
      </w:r>
      <w:r>
        <w:t xml:space="preserve"> </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"2022 Kentucky Workers' Compensation Schedule of Fees for Physicians", July 1, 2022 Edition,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t xml:space="preserve">(3)</w:t>
      </w:r>
      <w:r>
        <w:t xml:space="preserve"> </w:t>
      </w:r>
      <w:r>
        <w:t xml:space="preserve">This material may also be obtained from or through https://labor.ky.gov/comp/Pages/Medical-Services.aspx#Physican Fee Schedule.</w:t>
      </w:r>
    </w:p>
    <w:p>
      <w:pPr>
        <w:pStyle w:val="kar_history"/>
      </w:pPr>
      <w:r>
        <w:t xml:space="preserve">(21 Ky.R. 1603; eff. 2-9-1995; 23 Ky.R. 1750; 2485; eff. 12-12-1996; 25 Ky.R. 915; 1362; eff. 11-18-1998; 28 Ky.R. 1226; eff. 1-14-2002; 32 Ky.R. 747; eff. 1-6-2006; 35 Ky.R. 404, eff. 12-5-2008; 37 Ky.R. 1078 1492; eff. 3-4-2011; 40 Ky.R. 1907; 2304; eff. 6-6-2014; 43 Ky.R. 28, 404; eff. 10-7-2016; 45 Ky.R. 158, 1193; eff. 12-7-2018; 47 Ky.R. 382, 1217; eff. 3-2-2021; 49 Ky.R. 440, 1263; eff. 3-7-2023.)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c5be2b4e8e49f9" /><Relationship Type="http://schemas.openxmlformats.org/officeDocument/2006/relationships/settings" Target="/word/settings.xml" Id="R5f33470c9f6543eb" /></Relationships>
</file>