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03fc6d1c1149d9"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907 KAR 1:126E.</w:t>
      </w:r>
    </w:p>
    <w:p>
      <w:pPr>
        <w:pStyle w:val="kar_normal"/>
      </w:pPr>
      <w:r>
        <w:t xml:space="preserve">This emergency administrative regulation is being promulgated to incorporate and fully implement a received federal approval that extends coverage of audiology, dental, and vision services to all Medicaid recipients. This emergency administrative regulation is being promulgated to establish policy relating to dental services and enhance the services available to all Medicaid recipients in the most appropriate setting. In addition, a received federal approval requires that audiology, dental, and vision services be expanded to individuals older than twenty-one (21). This emergency administrative regulation is needed pursuant to KRS 13A.190(1)(a)2. to preserve state and federal funding and ensure the most efficient use of funds. Failure to implement the received federal approval and provide coverage for eligible recipients within a timely fashion could result in a loss of federal funds.</w:t>
      </w:r>
    </w:p>
    <w:p>
      <w:pPr>
        <w:pStyle w:val="kar_normal"/>
      </w:pPr>
      <w:r>
        <w:t xml:space="preserve">In addition, the Department for Medicaid Services (DMS) needs this administrative regulation pursuant to KRS 13A.190(1)(a)1. to preserve the welfare of Medicaid recipients and to reimburse providers for coverage of treatment plans. Covering services in the appropriate setting and increasing access to preventive services will reduce expensive treatment in other settings, such as an emergency department. Also, studies show that access to these services for adults results in improved health outcomes and lowers costs.</w:t>
      </w:r>
    </w:p>
    <w:p>
      <w:pPr>
        <w:pStyle w:val="kar_normal"/>
      </w:pPr>
      <w:r>
        <w:t xml:space="preserve">Furthermore, vision, dental and hearing problems have removed thousands of Kentuckians from the workforce, and adults who have access to these preventive services are more likely to enter the workforce. This emergency administrative regulation will help the more than 900,000 Medicaid recipients who are age 21 and older return to work.</w:t>
      </w:r>
    </w:p>
    <w:p>
      <w:pPr>
        <w:pStyle w:val="kar_normal"/>
      </w:pPr>
      <w:r>
        <w:t xml:space="preserve">This administrative regulation is substantially different from the administrative regulation filed on December 29, 2022, regarding dental services in that new sections relating to DMS activities in response to federal approval and implant policy are included. Significant changes to the implant policy section require providers to use implants sparingly and as an anchoring option, and limit implants per recipient. In addition, prior authorization is now clearly required for the insertion of a dental implant, an updated link to the DMS Dental Fee Schedule is included in two places in Section 5, and the latest version of the dental fee schedule is incorporated by reference.</w:t>
      </w:r>
    </w:p>
    <w:p>
      <w:pPr>
        <w:pStyle w:val="kar_normal"/>
      </w:pPr>
      <w:r>
        <w:t xml:space="preserve">This emergency administrative regulation shall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907 KAR 1:126E.</w:t>
      </w:r>
      <w:r>
        <w:t xml:space="preserve"> </w:t>
      </w:r>
      <w:r>
        <w:t xml:space="preserve">Dental services' coverage provisions and requirements.</w:t>
      </w:r>
    </w:p>
    <w:p>
      <w:pPr>
        <w:pStyle w:val="kar_markup_metadata"/>
      </w:pPr>
      <w:r>
        <w:t xml:space="preserve">EFFECTIVE: April 12, 2023</w:t>
      </w:r>
    </w:p>
    <w:p>
      <w:pPr>
        <w:pStyle w:val="kar_markup_metadata"/>
      </w:pPr>
      <w:r>
        <w:t xml:space="preserve">RELATES TO: </w:t>
      </w:r>
      <w:r>
        <w:t xml:space="preserve">KRS 205.520, 205.622, 205.8451, 313.010, 313.040, 369.102(8), 369.101 to 369.120, 415.152, 42 C.F.R. 400.203, 415.170, 415.172, 415.174, 438.2, 45 C.F.R. Parts 160 and 164, 42 U.S.C. 1320d, 1396a-d</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interaction" means the billing dentist or oral surgeon is physically present with and evaluates, examines, treats, or diagnoses the recipient, unless the service can be appropriately performed via telehealth pursuant to 907 KAR 3:170.</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"Implant" means a medical device that is surgically implanted into the jaw to restore a person's ability to chew or appearance. An implant provides support for artificial teeth including a crown, a bridge, or dentures.</w:t>
      </w:r>
    </w:p>
    <w:p>
      <w:pPr>
        <w:pStyle w:val="kar_subsection"/>
      </w:pPr>
      <w:r>
        <w:t xml:space="preserve">(10)</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(11)</w:t>
      </w:r>
      <w:r>
        <w:t xml:space="preserve"> </w:t>
      </w:r>
      <w:r>
        <w:t xml:space="preserve">"Integral" means that a medical procedure represents a component of a more complex procedure performed at the same time.</w:t>
      </w:r>
    </w:p>
    <w:p>
      <w:pPr>
        <w:pStyle w:val="kar_subsection"/>
      </w:pPr>
      <w:r>
        <w:t xml:space="preserve">(12)</w:t>
      </w:r>
      <w:r>
        <w:t xml:space="preserve"> </w:t>
      </w:r>
      <w:r>
        <w:t xml:space="preserve">"Locum tenens dentist" means a substitute dentist:</w:t>
      </w:r>
    </w:p>
    <w:p>
      <w:pPr>
        <w:pStyle w:val="kar_paragraph"/>
      </w:pPr>
      <w:r>
        <w:t xml:space="preserve">(a)</w:t>
      </w:r>
      <w:r>
        <w:t xml:space="preserve"> </w:t>
      </w:r>
      <w:r>
        <w:t xml:space="preserve">Who temporarily assumes responsibility for the professional practice of a dentist participating in the Kentucky Medicaid Program; and</w:t>
      </w:r>
    </w:p>
    <w:p>
      <w:pPr>
        <w:pStyle w:val="kar_paragraph"/>
      </w:pPr>
      <w:r>
        <w:t xml:space="preserve">(b)</w:t>
      </w:r>
      <w:r>
        <w:t xml:space="preserve"> </w:t>
      </w:r>
      <w:r>
        <w:t xml:space="preserve">Whose services are paid under the participating dentist's provider number.</w:t>
      </w:r>
    </w:p>
    <w:p>
      <w:pPr>
        <w:pStyle w:val="kar_subsection"/>
      </w:pPr>
      <w:r>
        <w:t xml:space="preserve">(13)</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(14)</w:t>
      </w:r>
      <w:r>
        <w:t xml:space="preserve"> </w:t>
      </w:r>
      <w:r>
        <w:t xml:space="preserve">"Medically necessary" or "medical necessity" means that a covered benefit is determined to be needed in accordance with 907 KAR 3:130.</w:t>
      </w:r>
    </w:p>
    <w:p>
      <w:pPr>
        <w:pStyle w:val="kar_subsection"/>
      </w:pPr>
      <w:r>
        <w:t xml:space="preserve">(15)</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(16)</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t xml:space="preserve">(17)</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(18)</w:t>
      </w:r>
      <w:r>
        <w:t xml:space="preserve"> </w:t>
      </w:r>
      <w:r>
        <w:t xml:space="preserve">"Prior authorization" or "PA" means approval that a provider shall obtain from the department before being reimbursed for a covered service.</w:t>
      </w:r>
    </w:p>
    <w:p>
      <w:pPr>
        <w:pStyle w:val="kar_subsection"/>
      </w:pPr>
      <w:r>
        <w:t xml:space="preserve">(19)</w:t>
      </w:r>
      <w:r>
        <w:t xml:space="preserve"> </w:t>
      </w:r>
      <w:r>
        <w:t xml:space="preserve">"Provider" is defined by KRS 205.8451(7).</w:t>
      </w:r>
    </w:p>
    <w:p>
      <w:pPr>
        <w:pStyle w:val="kar_subsection"/>
      </w:pPr>
      <w:r>
        <w:t xml:space="preserve">(20)</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(21)</w:t>
      </w:r>
      <w:r>
        <w:t xml:space="preserve"> </w:t>
      </w:r>
      <w:r>
        <w:t xml:space="preserve">"Recipient" is defined by KRS 205.8451(9).</w:t>
      </w:r>
    </w:p>
    <w:p>
      <w:pPr>
        <w:pStyle w:val="kar_subsection"/>
      </w:pPr>
      <w:r>
        <w:t xml:space="preserve">(22)</w:t>
      </w:r>
      <w:r>
        <w:t xml:space="preserve"> </w:t>
      </w:r>
      <w:r>
        <w:t xml:space="preserve">"Resident" is defined by 42 C.F.R. 415.152.</w:t>
      </w:r>
    </w:p>
    <w:p>
      <w:pPr>
        <w:pStyle w:val="kar_subsection"/>
      </w:pPr>
      <w:r>
        <w:t xml:space="preserve">(23)</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p>
    <w:p>
      <w:pPr>
        <w:pStyle w:val="kar_paragraph"/>
      </w:pPr>
      <w:r>
        <w:t xml:space="preserve">(d)</w:t>
      </w:r>
      <w:r>
        <w:t xml:space="preserve"> </w:t>
      </w:r>
      <w:r>
        <w:t xml:space="preserve">Comply with all applicable state and federal laws; and</w:t>
      </w:r>
    </w:p>
    <w:p>
      <w:pPr>
        <w:pStyle w:val="kar_paragraph"/>
      </w:pPr>
      <w:r>
        <w:t xml:space="preserve">(e)</w:t>
      </w:r>
      <w:r>
        <w:t xml:space="preserve"> </w:t>
      </w:r>
      <w:r>
        <w:t xml:space="preserve">Meet all applicable medical and dental standards of practice.</w:t>
      </w:r>
    </w:p>
    <w:p>
      <w:pPr>
        <w:pStyle w:val="kar_subsection"/>
      </w:pPr>
      <w:r>
        <w:t xml:space="preserve">(2)</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DMS Activities in Response to Federal Approval.</w:t>
      </w:r>
    </w:p>
    <w:p>
      <w:pPr>
        <w:pStyle w:val="kar_subsection"/>
      </w:pPr>
      <w:r>
        <w:t xml:space="preserve">(1)</w:t>
      </w:r>
      <w:r>
        <w:t xml:space="preserve"> </w:t>
      </w:r>
      <w:r>
        <w:t xml:space="preserve">The department shall negotiate the dental program with the federal government consistent with 42 U.S.C. 1396a.</w:t>
      </w:r>
    </w:p>
    <w:p>
      <w:pPr>
        <w:pStyle w:val="kar_subsection"/>
      </w:pPr>
      <w:r>
        <w:t xml:space="preserve">(2)</w:t>
      </w:r>
      <w:r>
        <w:t xml:space="preserve"> </w:t>
      </w:r>
      <w:r>
        <w:t xml:space="preserve">The department shall seek official federal approval when implementing new covered services. New covered services may be received via approved state plan amendments with the federal government or via other reliable methods of receiving federal approval.</w:t>
      </w:r>
    </w:p>
    <w:p>
      <w:pPr>
        <w:pStyle w:val="kar_section"/>
      </w:pPr>
      <w:r>
        <w:t xml:space="preserve">Section 4.</w:t>
      </w:r>
      <w:r>
        <w:t xml:space="preserve"> </w:t>
      </w:r>
      <w:r>
        <w:t xml:space="preserve">Record Maintenance.</w:t>
      </w:r>
    </w:p>
    <w:p>
      <w:pPr>
        <w:pStyle w:val="kar_subsection"/>
      </w:pPr>
      <w:r>
        <w:t xml:space="preserve">(1)</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5.</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(2) of this section, furnished to a recipient through direct practitioner interaction.</w:t>
      </w:r>
    </w:p>
    <w:p>
      <w:pPr>
        <w:pStyle w:val="kar_subsection"/>
      </w:pPr>
      <w:r>
        <w:t xml:space="preserve">(2)</w:t>
      </w:r>
      <w:r>
        <w:t xml:space="preserve"> </w:t>
      </w:r>
      <w:r>
        <w:t xml:space="preserve">A covered service provided by another licensed medical professional (OLMP)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interaction with the recipient, except for a service provided by a dental hygienist if the dental hygienist provides the service under general supervision of a practitioner in accordance with KRS 313.040.</w:t>
      </w:r>
    </w:p>
    <w:p>
      <w:pPr>
        <w:pStyle w:val="kar_subsection"/>
      </w:pPr>
      <w:r>
        <w:t xml:space="preserve">(3)</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(4)</w:t>
      </w:r>
      <w:r>
        <w:t xml:space="preserve"> </w:t>
      </w:r>
      <w:r>
        <w:t xml:space="preserve">Services provided by a locum tenens dentist shall be covered:</w:t>
      </w:r>
    </w:p>
    <w:p>
      <w:pPr>
        <w:pStyle w:val="kar_paragraph"/>
      </w:pPr>
      <w:r>
        <w:t xml:space="preserve">(a)</w:t>
      </w:r>
      <w:r>
        <w:t xml:space="preserve"> </w:t>
      </w:r>
      <w:r>
        <w:t xml:space="preserve">If the locum tenens dentist:</w:t>
      </w:r>
    </w:p>
    <w:p>
      <w:pPr>
        <w:pStyle w:val="kar_subparagraph"/>
      </w:pPr>
      <w:r>
        <w:t xml:space="preserve">1.</w:t>
      </w:r>
      <w:r>
        <w:t xml:space="preserve"> </w:t>
      </w:r>
      <w:r>
        <w:t xml:space="preserve">Has a national provider identifier (NPI) and provides the NPI to the department;</w:t>
      </w:r>
    </w:p>
    <w:p>
      <w:pPr>
        <w:pStyle w:val="kar_subparagraph"/>
      </w:pPr>
      <w:r>
        <w:t xml:space="preserve">2.</w:t>
      </w:r>
      <w:r>
        <w:t xml:space="preserve"> </w:t>
      </w:r>
      <w:r>
        <w:t xml:space="preserve">Does not have a pending criminal or civil investigation regarding the provision of services;</w:t>
      </w:r>
    </w:p>
    <w:p>
      <w:pPr>
        <w:pStyle w:val="kar_subparagraph"/>
      </w:pPr>
      <w:r>
        <w:t xml:space="preserve">3.</w:t>
      </w:r>
      <w:r>
        <w:t xml:space="preserve"> </w:t>
      </w:r>
      <w:r>
        <w:t xml:space="preserve">Is not subject to a formal disciplinary sanction from the Kentucky Board of Dentistry; and</w:t>
      </w:r>
    </w:p>
    <w:p>
      <w:pPr>
        <w:pStyle w:val="kar_subparagraph"/>
      </w:pPr>
      <w:r>
        <w:t xml:space="preserve">4.</w:t>
      </w:r>
      <w:r>
        <w:t xml:space="preserve"> </w:t>
      </w:r>
      <w:r>
        <w:t xml:space="preserve">Is not subject to any federal or state sanction or penalty that would bar the dentist from Medicare or Medicaid participation; and</w:t>
      </w:r>
    </w:p>
    <w:p>
      <w:pPr>
        <w:pStyle w:val="kar_paragraph"/>
      </w:pPr>
      <w:r>
        <w:t xml:space="preserve">(b)</w:t>
      </w:r>
      <w:r>
        <w:t xml:space="preserve"> </w:t>
      </w:r>
      <w:r>
        <w:t xml:space="preserve">For no more than sixty (60) continuous days.</w:t>
      </w:r>
    </w:p>
    <w:p>
      <w:pPr>
        <w:pStyle w:val="kar_subsection"/>
      </w:pPr>
      <w:r>
        <w:t xml:space="preserve">(5)</w:t>
      </w:r>
      <w:r>
        <w:t xml:space="preserve"> </w:t>
      </w:r>
      <w:r>
        <w:t xml:space="preserve">Preventative services provided by a public health hygienist shall be covered.</w:t>
      </w:r>
    </w:p>
    <w:p>
      <w:pPr>
        <w:pStyle w:val="kar_subsection"/>
      </w:pPr>
      <w:r>
        <w:t xml:space="preserve">(6)</w:t>
      </w:r>
      <w:r>
        <w:t xml:space="preserve"> </w:t>
      </w:r>
      <w:r>
        <w:t xml:space="preserve">The department shall cover the oral pathology procedures listed on the Kentucky Medicaid Dental Fee Schedule if provided by an oral pathologist who meets the condition of participation requirements established in Section 2 of this administrative regulation.</w:t>
      </w:r>
    </w:p>
    <w:p>
      <w:pPr>
        <w:pStyle w:val="kar_subsection"/>
      </w:pPr>
      <w:r>
        <w:t xml:space="preserve">(7)</w:t>
      </w:r>
      <w:r>
        <w:t xml:space="preserve"> </w:t>
      </w:r>
      <w:r>
        <w:t xml:space="preserve">Coverage shall be limited to the procedures or services:</w:t>
      </w:r>
    </w:p>
    <w:p>
      <w:pPr>
        <w:pStyle w:val="kar_paragraph"/>
      </w:pPr>
      <w:r>
        <w:t xml:space="preserve">(a)</w:t>
      </w:r>
      <w:r>
        <w:t xml:space="preserve"> </w:t>
      </w:r>
      <w:r>
        <w:t xml:space="preserve">Identified and established on the Kentucky Medicaid Dental Fee Schedule as available at: https://www.chfs.ky.gov/agencies/dms/Pages/feesrates.aspx; or</w:t>
      </w:r>
    </w:p>
    <w:p>
      <w:pPr>
        <w:pStyle w:val="kar_paragraph"/>
      </w:pPr>
      <w:r>
        <w:t xml:space="preserve">(b)</w:t>
      </w:r>
      <w:r>
        <w:t xml:space="preserve"> </w:t>
      </w:r>
      <w:r>
        <w:t xml:space="preserve">Established in this administrative regulation.</w:t>
      </w:r>
    </w:p>
    <w:p>
      <w:pPr>
        <w:pStyle w:val="kar_subsection"/>
      </w:pPr>
      <w:r>
        <w:t xml:space="preserve">(8)</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w:t>
      </w:r>
    </w:p>
    <w:p>
      <w:pPr>
        <w:pStyle w:val="kar_paragraph"/>
      </w:pPr>
      <w:r>
        <w:t xml:space="preserve">(b)</w:t>
      </w:r>
      <w:r>
        <w:t xml:space="preserve"> </w:t>
      </w:r>
      <w:r>
        <w:t xml:space="preserve">Kentucky administrative regulations; or</w:t>
      </w:r>
    </w:p>
    <w:p>
      <w:pPr>
        <w:pStyle w:val="kar_paragraph"/>
      </w:pPr>
      <w:r>
        <w:t xml:space="preserve">(c)</w:t>
      </w:r>
      <w:r>
        <w:t xml:space="preserve"> </w:t>
      </w:r>
      <w:r>
        <w:t xml:space="preserve">As established on the Kentucky Medicaid Dental Fee Schedule as available at: https://www.chfs.ky.gov/agencies/dms/Pages/feesrates.aspx.</w:t>
      </w:r>
    </w:p>
    <w:p>
      <w:pPr>
        <w:pStyle w:val="kar_subsection"/>
      </w:pPr>
      <w:r>
        <w:t xml:space="preserve">(9)</w:t>
      </w:r>
      <w:r>
        <w:t xml:space="preserve"> </w:t>
      </w:r>
      <w:r>
        <w:t xml:space="preserve">The department shall not reimburse for services under this administrative regulation that are only cosmetic in nature.</w:t>
      </w:r>
    </w:p>
    <w:p>
      <w:pPr>
        <w:pStyle w:val="kar_section"/>
      </w:pPr>
      <w:r>
        <w:t xml:space="preserve">Section 6.</w:t>
      </w:r>
      <w:r>
        <w:t xml:space="preserve"> </w:t>
      </w:r>
      <w:r>
        <w:t xml:space="preserve">Diagnostic Service Coverage Limitations.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7.</w:t>
      </w:r>
      <w:r>
        <w:t xml:space="preserve"> </w:t>
      </w:r>
      <w:r>
        <w:t xml:space="preserve">Preventive Service Coverage Limitations.</w:t>
      </w:r>
    </w:p>
    <w:p>
      <w:pPr>
        <w:pStyle w:val="kar_subsection"/>
      </w:pPr>
      <w:r>
        <w:t xml:space="preserve">(1)</w:t>
      </w:r>
      <w:r>
        <w:t xml:space="preserve"> </w:t>
      </w:r>
    </w:p>
    <w:p>
      <w:pPr>
        <w:pStyle w:val="kar_paragraph"/>
      </w:pPr>
      <w:r>
        <w:t xml:space="preserve">(a)</w:t>
      </w:r>
      <w:r>
        <w:t xml:space="preserve"> </w:t>
      </w:r>
      <w:r>
        <w:t xml:space="preserve">Coverage of a prophylaxis shall be limited to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Each six (6) and twelve (12) year molar once every four (4) years with a lifetime limit of three (3) sealants per tooth, per recipient; and</w:t>
      </w:r>
    </w:p>
    <w:p>
      <w:pPr>
        <w:pStyle w:val="kar_subparagraph"/>
      </w:pPr>
      <w:r>
        <w:t xml:space="preserve">2.</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p>
    <w:p>
      <w:pPr>
        <w:pStyle w:val="kar_paragraph"/>
      </w:pPr>
      <w:r>
        <w:t xml:space="preserve">(a)</w:t>
      </w:r>
      <w:r>
        <w:t xml:space="preserve"> </w:t>
      </w:r>
      <w:r>
        <w:t xml:space="preserve">Coverage of a space maintainer shall require the following:</w:t>
      </w:r>
    </w:p>
    <w:p>
      <w:pPr>
        <w:pStyle w:val="kar_subparagraph"/>
      </w:pPr>
      <w:r>
        <w:t xml:space="preserve">1.</w:t>
      </w:r>
      <w:r>
        <w:t xml:space="preserve"> </w:t>
      </w:r>
      <w:r>
        <w:t xml:space="preserve">Fabrication;</w:t>
      </w:r>
    </w:p>
    <w:p>
      <w:pPr>
        <w:pStyle w:val="kar_subparagraph"/>
      </w:pPr>
      <w:r>
        <w:t xml:space="preserve">2.</w:t>
      </w:r>
      <w:r>
        <w:t xml:space="preserve"> </w:t>
      </w:r>
      <w:r>
        <w:t xml:space="preserve">Insertion;</w:t>
      </w:r>
    </w:p>
    <w:p>
      <w:pPr>
        <w:pStyle w:val="kar_subparagraph"/>
      </w:pPr>
      <w:r>
        <w:t xml:space="preserve">3.</w:t>
      </w:r>
      <w:r>
        <w:t xml:space="preserve"> </w:t>
      </w:r>
      <w:r>
        <w:t xml:space="preserve">Follow-up visits;</w:t>
      </w:r>
    </w:p>
    <w:p>
      <w:pPr>
        <w:pStyle w:val="kar_subparagraph"/>
      </w:pPr>
      <w:r>
        <w:t xml:space="preserve">4.</w:t>
      </w:r>
      <w:r>
        <w:t xml:space="preserve"> </w:t>
      </w:r>
      <w:r>
        <w:t xml:space="preserve">Adjustments; and</w:t>
      </w:r>
    </w:p>
    <w:p>
      <w:pPr>
        <w:pStyle w:val="kar_subparagraph"/>
      </w:pPr>
      <w:r>
        <w:t xml:space="preserve">5.</w:t>
      </w:r>
      <w:r>
        <w:t xml:space="preserve"> </w:t>
      </w:r>
      <w:r>
        <w:t xml:space="preserve">Documentation in the recipient's medical record to:</w:t>
      </w:r>
    </w:p>
    <w:p>
      <w:pPr>
        <w:pStyle w:val="kar_clause"/>
      </w:pPr>
      <w:r>
        <w:t xml:space="preserve">a.</w:t>
      </w:r>
      <w:r>
        <w:t xml:space="preserve"> </w:t>
      </w:r>
      <w:r>
        <w:t xml:space="preserve">Substantiate the use for maintenance of existing interdental space; and</w:t>
      </w:r>
    </w:p>
    <w:p>
      <w:pPr>
        <w:pStyle w:val="kar_clause"/>
      </w:pPr>
      <w:r>
        <w:t xml:space="preserve">b.</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8.</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 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stainless-steel crown.</w:t>
      </w:r>
    </w:p>
    <w:p>
      <w:pPr>
        <w:pStyle w:val="kar_section"/>
      </w:pPr>
      <w:r>
        <w:t xml:space="preserve">Section 9.</w:t>
      </w:r>
      <w:r>
        <w:t xml:space="preserve"> </w:t>
      </w:r>
      <w:r>
        <w:t xml:space="preserve">Endodontic Service Coverage Limitations.</w:t>
      </w:r>
    </w:p>
    <w:p>
      <w:pPr>
        <w:pStyle w:val="kar_subsection"/>
      </w:pPr>
      <w:r>
        <w:t xml:space="preserve">(1)</w:t>
      </w:r>
      <w:r>
        <w:t xml:space="preserve"> </w:t>
      </w:r>
      <w:r>
        <w:t xml:space="preserve">A therapeutic pulpotomy shall not be covered if performed in conjunction with root canal therapy.</w:t>
      </w:r>
    </w:p>
    <w:p>
      <w:pPr>
        <w:pStyle w:val="kar_subsection"/>
      </w:pPr>
      <w:r>
        <w:t xml:space="preserve">(2)</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10.</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Periodontal scaling and root planing shall not be covered if performed in conjunction with dental prophylaxis.</w:t>
      </w:r>
    </w:p>
    <w:p>
      <w:pPr>
        <w:pStyle w:val="kar_section"/>
      </w:pPr>
      <w:r>
        <w:t xml:space="preserve">Section 11.</w:t>
      </w:r>
      <w:r>
        <w:t xml:space="preserve"> </w:t>
      </w:r>
      <w:r>
        <w:t xml:space="preserve">Prosthodontic Service Coverage Limitations.</w:t>
      </w:r>
    </w:p>
    <w:p>
      <w:pPr>
        <w:pStyle w:val="kar_subsection"/>
      </w:pPr>
      <w:r>
        <w:t xml:space="preserve">(1)</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(2)</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(3)</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12.</w:t>
      </w:r>
      <w:r>
        <w:t xml:space="preserve"> </w:t>
      </w:r>
      <w:r>
        <w:t xml:space="preserve">Maxillofacial Prosthetic Service Coverage Limitations. The following services shall be covered if provided by a board-eligible or board-certified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13.</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and</w:t>
      </w:r>
    </w:p>
    <w:p>
      <w:pPr>
        <w:pStyle w:val="kar_paragraph"/>
      </w:pPr>
      <w:r>
        <w:t xml:space="preserve">(c)</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14.</w:t>
      </w:r>
      <w:r>
        <w:t xml:space="preserve"> </w:t>
      </w:r>
      <w:r>
        <w:t xml:space="preserve">Orthodontic Service Coverage Limitations.</w:t>
      </w:r>
    </w:p>
    <w:p>
      <w:pPr>
        <w:pStyle w:val="kar_subsection"/>
      </w:pPr>
      <w:r>
        <w:t xml:space="preserve">(1)</w:t>
      </w:r>
      <w:r>
        <w:t xml:space="preserve"> </w:t>
      </w:r>
      <w:r>
        <w:t xml:space="preserve">Coverage of an orthodontic service shall 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Orthodontic braces shall be limited to recipients under the age of twenty-one (21) years.</w:t>
      </w:r>
    </w:p>
    <w:p>
      <w:pPr>
        <w:pStyle w:val="kar_subsection"/>
      </w:pPr>
      <w:r>
        <w:t xml:space="preserve">(5)</w:t>
      </w:r>
      <w:r>
        <w:t xml:space="preserve"> </w:t>
      </w:r>
      <w:r>
        <w:t xml:space="preserve">Space maintainers shall be allowed for adults when:</w:t>
      </w:r>
    </w:p>
    <w:p>
      <w:pPr>
        <w:pStyle w:val="kar_paragraph"/>
      </w:pPr>
      <w:r>
        <w:t xml:space="preserve">(a)</w:t>
      </w:r>
      <w:r>
        <w:t xml:space="preserve"> </w:t>
      </w:r>
      <w:r>
        <w:t xml:space="preserve">There has been an extraction or lost tooth;</w:t>
      </w:r>
    </w:p>
    <w:p>
      <w:pPr>
        <w:pStyle w:val="kar_paragraph"/>
      </w:pPr>
      <w:r>
        <w:t xml:space="preserve">(b)</w:t>
      </w:r>
      <w:r>
        <w:t xml:space="preserve"> </w:t>
      </w:r>
      <w:r>
        <w:t xml:space="preserve">A permanent tooth is waiting for a partial;</w:t>
      </w:r>
    </w:p>
    <w:p>
      <w:pPr>
        <w:pStyle w:val="kar_paragraph"/>
      </w:pPr>
      <w:r>
        <w:t xml:space="preserve">(c)</w:t>
      </w:r>
      <w:r>
        <w:t xml:space="preserve"> </w:t>
      </w:r>
      <w:r>
        <w:t xml:space="preserve">In preparation for an implant, if an implant is medically necessary and approved;</w:t>
      </w:r>
    </w:p>
    <w:p>
      <w:pPr>
        <w:pStyle w:val="kar_paragraph"/>
      </w:pPr>
      <w:r>
        <w:t xml:space="preserve">(d)</w:t>
      </w:r>
      <w:r>
        <w:t xml:space="preserve"> </w:t>
      </w:r>
      <w:r>
        <w:t xml:space="preserve">A third molar is partially erupted; or</w:t>
      </w:r>
    </w:p>
    <w:p>
      <w:pPr>
        <w:pStyle w:val="kar_paragraph"/>
      </w:pPr>
      <w:r>
        <w:t xml:space="preserve">(e)</w:t>
      </w:r>
      <w:r>
        <w:t xml:space="preserve"> </w:t>
      </w:r>
      <w:r>
        <w:t xml:space="preserve">There is a congenitally missing tooth.</w:t>
      </w:r>
    </w:p>
    <w:p>
      <w:pPr>
        <w:pStyle w:val="kar_subsection"/>
      </w:pPr>
      <w:r>
        <w:t xml:space="preserve">(6)</w:t>
      </w:r>
      <w:r>
        <w:t xml:space="preserve"> </w:t>
      </w:r>
      <w:r>
        <w:t xml:space="preserve">The department shall only cover new orthodontic brackets or appliances.</w:t>
      </w:r>
    </w:p>
    <w:p>
      <w:pPr>
        <w:pStyle w:val="kar_subsection"/>
      </w:pPr>
      <w:r>
        <w:t xml:space="preserve">(7)</w:t>
      </w:r>
      <w:r>
        <w:t xml:space="preserve"> </w:t>
      </w:r>
      <w:r>
        <w:t xml:space="preserve">An appliance for minor tooth guidance shall not be covered for the control of harmful habits.</w:t>
      </w:r>
    </w:p>
    <w:p>
      <w:pPr>
        <w:pStyle w:val="kar_subsection"/>
      </w:pPr>
      <w:r>
        <w:t xml:space="preserve">(8)</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(9)</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edge-to-edge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(10)</w:t>
      </w:r>
      <w:r>
        <w:t xml:space="preserve"> </w:t>
      </w:r>
      <w:r>
        <w:t xml:space="preserve">Coverage of comprehensive orthodontic treatment shall not include orthognathic surgery.</w:t>
      </w:r>
    </w:p>
    <w:p>
      <w:pPr>
        <w:pStyle w:val="kar_subsection"/>
      </w:pPr>
      <w:r>
        <w:t xml:space="preserve">(11)</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(8)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(12)</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15.</w:t>
      </w:r>
      <w:r>
        <w:t xml:space="preserve"> </w:t>
      </w:r>
      <w:r>
        <w:t xml:space="preserve">Adjunctive General Service Coverage Limitations.</w:t>
      </w:r>
    </w:p>
    <w:p>
      <w:pPr>
        <w:pStyle w:val="kar_subsection"/>
      </w:pPr>
      <w:r>
        <w:t xml:space="preserve">(1)</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or</w:t>
      </w:r>
    </w:p>
    <w:p>
      <w:pPr>
        <w:pStyle w:val="kar_subparagraph"/>
      </w:pPr>
      <w:r>
        <w:t xml:space="preserve">2.</w:t>
      </w:r>
      <w:r>
        <w:t xml:space="preserve"> </w:t>
      </w:r>
      <w:r>
        <w:t xml:space="preserve">Comprehensive oral evaluation.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16.</w:t>
      </w:r>
      <w:r>
        <w:t xml:space="preserve"> </w:t>
      </w:r>
      <w:r>
        <w:t xml:space="preserve">Implant Policy.</w:t>
      </w:r>
    </w:p>
    <w:p>
      <w:pPr>
        <w:pStyle w:val="kar_subsection"/>
      </w:pPr>
      <w:r>
        <w:t xml:space="preserve">(1)</w:t>
      </w:r>
      <w:r>
        <w:t xml:space="preserve"> </w:t>
      </w:r>
      <w:r>
        <w:t xml:space="preserve">Implants shall meet the medical necessity criteria and be used to stabilize a retaining prosthetic device.</w:t>
      </w:r>
    </w:p>
    <w:p>
      <w:pPr>
        <w:pStyle w:val="kar_subsection"/>
      </w:pPr>
      <w:r>
        <w:t xml:space="preserve">(2)</w:t>
      </w:r>
      <w:r>
        <w:t xml:space="preserve"> </w:t>
      </w:r>
      <w:r>
        <w:t xml:space="preserve">Implants shall be limited to no more than:</w:t>
      </w:r>
    </w:p>
    <w:p>
      <w:pPr>
        <w:pStyle w:val="kar_paragraph"/>
      </w:pPr>
      <w:r>
        <w:t xml:space="preserve">(a)</w:t>
      </w:r>
      <w:r>
        <w:t xml:space="preserve"> </w:t>
      </w:r>
      <w:r>
        <w:t xml:space="preserve">For an individual who has lost all of their natural teeth, a total of ten (10) but with a limit of five (5) for each arch; and</w:t>
      </w:r>
    </w:p>
    <w:p>
      <w:pPr>
        <w:pStyle w:val="kar_paragraph"/>
      </w:pPr>
      <w:r>
        <w:t xml:space="preserve">(b)</w:t>
      </w:r>
      <w:r>
        <w:t xml:space="preserve"> </w:t>
      </w:r>
      <w:r>
        <w:t xml:space="preserve">For an individual who retains some natural teeth, a limit of eight (8) for replacement of individual teeth of for a larger restorative purpose such as a bridge that spans three (3) or more teeth.</w:t>
      </w:r>
    </w:p>
    <w:p>
      <w:pPr>
        <w:pStyle w:val="kar_section"/>
      </w:pPr>
      <w:r>
        <w:t xml:space="preserve">Section 17.</w:t>
      </w:r>
      <w:r>
        <w:t xml:space="preserve"> </w:t>
      </w:r>
      <w:r>
        <w:t xml:space="preserve">Prior Authorization.</w:t>
      </w:r>
    </w:p>
    <w:p>
      <w:pPr>
        <w:pStyle w:val="kar_subsection"/>
      </w:pPr>
      <w:r>
        <w:t xml:space="preserve">(1)</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w:t>
      </w:r>
    </w:p>
    <w:p>
      <w:pPr>
        <w:pStyle w:val="kar_subparagraph"/>
      </w:pPr>
      <w:r>
        <w:t xml:space="preserve">7.</w:t>
      </w:r>
      <w:r>
        <w:t xml:space="preserve"> </w:t>
      </w:r>
      <w:r>
        <w:t xml:space="preserve">A comprehensive orthodontic service; or</w:t>
      </w:r>
    </w:p>
    <w:p>
      <w:pPr>
        <w:pStyle w:val="kar_subparagraph"/>
      </w:pPr>
      <w:r>
        <w:t xml:space="preserve">8.</w:t>
      </w:r>
      <w:r>
        <w:t xml:space="preserve"> </w:t>
      </w:r>
      <w:r>
        <w:t xml:space="preserve">An implant.</w:t>
      </w:r>
    </w:p>
    <w:p>
      <w:pPr>
        <w:pStyle w:val="kar_subsection"/>
      </w:pPr>
      <w:r>
        <w:t xml:space="preserve">(2)</w:t>
      </w:r>
      <w:r>
        <w:t xml:space="preserve"> </w:t>
      </w:r>
      <w:r>
        <w:t xml:space="preserve">Limits may also be exceeded by prior authorization for children under the age of twenty-one (21) if medically necessary.</w:t>
      </w:r>
    </w:p>
    <w:p>
      <w:pPr>
        <w:pStyle w:val="kar_subsection"/>
      </w:pPr>
      <w:r>
        <w:t xml:space="preserve">(3)</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 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(4)</w:t>
      </w:r>
      <w:r>
        <w:t xml:space="preserve"> </w:t>
      </w:r>
      <w:r>
        <w:t xml:space="preserve">A request for prior authorization of a panoramic film shall include a letter of medical necessity.</w:t>
      </w:r>
    </w:p>
    <w:p>
      <w:pPr>
        <w:pStyle w:val="kar_subsection"/>
      </w:pPr>
      <w:r>
        <w:t xml:space="preserve">(5)</w:t>
      </w:r>
      <w:r>
        <w:t xml:space="preserve"> </w:t>
      </w:r>
      <w:r>
        <w:t xml:space="preserve">A request for prior authorization of periodontal scaling and root planing shall include periodontal charting of preoperative pocket depths.</w:t>
      </w:r>
    </w:p>
    <w:p>
      <w:pPr>
        <w:pStyle w:val="kar_subsection"/>
      </w:pPr>
      <w:r>
        <w:t xml:space="preserve">(6)</w:t>
      </w:r>
      <w:r>
        <w:t xml:space="preserve"> </w:t>
      </w:r>
      <w:r>
        <w:t xml:space="preserve">A request for prior authorization of an occlusal orthotic device shall include a MAP 306, Temporomandibular Joint (TMJ) Assessment Form.</w:t>
      </w:r>
    </w:p>
    <w:p>
      <w:pPr>
        <w:pStyle w:val="kar_subsection"/>
      </w:pPr>
      <w:r>
        <w:t xml:space="preserve">(7)</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(8)</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(9)</w:t>
      </w:r>
      <w:r>
        <w:t xml:space="preserve"> </w:t>
      </w:r>
      <w:r>
        <w:t xml:space="preserve">If prior authorization for comprehensive orthodontic services is given following a request submitted pursuant to subsection (8)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(10)</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(11)</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(12)</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(13)</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 as necessary, an age limit related prior authorization may continue to be enforced.</w:t>
      </w:r>
    </w:p>
    <w:p>
      <w:pPr>
        <w:pStyle w:val="kar_section"/>
      </w:pPr>
      <w:r>
        <w:t xml:space="preserve">Section 18.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19.</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20.</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21.</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"KY Medicaid Dental Fee Schedule", April 2023.</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https://chfs.ky.gov/agencies/dms/dpo/bpb/Pages/dental.aspx.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ec36ad853e49b2" /><Relationship Type="http://schemas.openxmlformats.org/officeDocument/2006/relationships/settings" Target="/word/settings.xml" Id="R2fbbce4b2a084884" /></Relationships>
</file>