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624aac2edb4b3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CERTIFICATION STATEMENT: </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w:t>
      </w:r>
      <w:r>
        <w:rPr>
          <w:u w:val="single"/>
        </w:rPr>
        <w:t xml:space="preserve"> (APRN)</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 either in person or via video conferencing, 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discussions; and</w:t>
      </w:r>
    </w:p>
    <w:p>
      <w:pPr>
        <w:pStyle w:val="kar_subparagraph"/>
      </w:pPr>
      <w:r>
        <w:rPr>
          <w:u w:val="single"/>
        </w:rPr>
        <w:t xml:space="preserve">3.</w:t>
      </w:r>
      <w:r>
        <w:t xml:space="preserve"> </w:t>
      </w:r>
      <w:r>
        <w:rPr>
          <w:u w:val="single"/>
        </w:rPr>
        <w:t xml:space="preserve">Any recommendations made 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 and</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w:t>
      </w:r>
      <w:r>
        <w:t>]</w:t>
      </w:r>
      <w:r>
        <w:t>[</w:t>
      </w:r>
      <w:r>
        <w:rPr>
          <w:strike w:val="true"/>
        </w:rPr>
        <w:t xml:space="preserve">Common</w:t>
      </w:r>
      <w:r>
        <w:t>]</w:t>
      </w:r>
      <w:r>
        <w:t xml:space="preserve"> CAPA-NS </w:t>
      </w:r>
      <w:r>
        <w:rPr>
          <w:u w:val="single"/>
        </w:rPr>
        <w:t xml:space="preserve">Agreement</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Form</w:t>
      </w:r>
      <w:r>
        <w:t xml:space="preserve">.</w:t>
      </w:r>
    </w:p>
    <w:p>
      <w:pPr>
        <w:pStyle w:val="kar_subsection"/>
      </w:pPr>
      <w:r>
        <w:t xml:space="preserve">(2)</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u w:val="single"/>
        </w:rP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rPr>
          <w:u w:val="single"/>
        </w:rPr>
        <w:t xml:space="preserve">(f)</w:t>
      </w:r>
      <w:r>
        <w:t xml:space="preserve"> </w:t>
      </w:r>
      <w:r>
        <w:rPr>
          <w:u w:val="single"/>
        </w:rP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r>
        <w:t>[</w:t>
      </w:r>
      <w:r>
        <w:t>]</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ends unexpectedly for reasons outside the APRN's control such as being ended by the physician without notice, the physician's license becoming no longer valid in Kentucky, or the death of a physician, the APRN may continue to prescribe non-scheduled legend drugs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 </w:t>
      </w:r>
      <w:r>
        <w:rPr>
          <w:u w:val="single"/>
        </w:rPr>
        <w:t xml:space="preserve">If an APRN's CAPA-CS ends unexpectedly, </w:t>
      </w:r>
      <w:r>
        <w:t xml:space="preserve">the APRN </w:t>
      </w:r>
      <w:r>
        <w:t>[</w:t>
      </w:r>
      <w:r>
        <w:rPr>
          <w:strike w:val="true"/>
        </w:rPr>
        <w:t xml:space="preserve">with a CAPA-CS </w:t>
      </w:r>
      <w:r>
        <w:t>]</w:t>
      </w:r>
      <w:r>
        <w:t xml:space="preserve">shall cease prescribing controlled substances </w:t>
      </w:r>
      <w:r>
        <w:t>[</w:t>
      </w:r>
      <w:r>
        <w:rPr>
          <w:strike w:val="true"/>
        </w:rPr>
        <w:t xml:space="preserve">if the collaborative agreement unexpectedly ends, </w:t>
      </w:r>
      <w:r>
        <w:t>]</w:t>
      </w:r>
      <w:r>
        <w:t xml:space="preserve">until the CAPA-CS is resumed</w:t>
      </w:r>
      <w:r>
        <w:rPr>
          <w:u w:val="single"/>
        </w:rPr>
        <w:t xml:space="preserve">,</w:t>
      </w:r>
      <w:r>
        <w:t>[</w:t>
      </w:r>
      <w:r>
        <w:rPr>
          <w:strike w:val="true"/>
        </w:rPr>
        <w:t xml:space="preserve">or </w:t>
      </w:r>
      <w:r>
        <w:t>]</w:t>
      </w:r>
      <w:r>
        <w:t xml:space="preserve">the APRN enters into a new CAPA-CS</w:t>
      </w:r>
      <w:r>
        <w:rPr>
          <w:u w:val="single"/>
        </w:rPr>
        <w:t xml:space="preserve">, or the APRN is granted an exemption by the Board under Section 7 of this administrative regulation</w:t>
      </w:r>
      <w:r>
        <w:t xml:space="preserve">.</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the board's website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the </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rPr>
          <w:u w:val="single"/>
        </w:rPr>
        <w:t xml:space="preserve"> 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approved_by"/>
      </w:pPr>
      <w:r>
        <w:t xml:space="preserve">APPROVED BY AGENCY: August 24, 2023</w:t>
      </w:r>
    </w:p>
    <w:p>
      <w:pPr>
        <w:pStyle w:val="kar_filed"/>
      </w:pPr>
      <w:r>
        <w:t xml:space="preserve">FILED WITH LRC: September 12, 2023 at 9:40 a.m.</w:t>
      </w:r>
    </w:p>
    <w:p>
      <w:pPr>
        <w:pStyle w:val="kar_comment_period"/>
      </w:pPr>
      <w:r>
        <w:t xml:space="preserve">PUBLIC HEARING AND PUBLIC COMMENT PERIOD: A public hearing on this administrative regulation shall be held on November 21, 2023 at 10:00 a.m. at Kentucky Board of Nursing, 312 Whittington Parkway, Ste 300, Louisville, Kentucky 40222. Individuals interested in being heard at this hearing shall notify this agency in writing by November 14,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clears up regulatory language to use "APRN"; adds definitions for "Good standing", "Immediate family" and "PDMP" (prescription drug monitoring program). It establishes regulatory standards for APRNs engaged in a CAPA-CS, including creation of a new CAPA-CS form. The amendments further provide for the regulatory process by which an APRN may request an exemption from the CAPA-CS requirement, in accordance with Senate Bill (SB) 94 (2023RS).</w:t>
      </w:r>
    </w:p>
    <w:p>
      <w:pPr>
        <w:pStyle w:val="kar_normal"/>
        <w:ind w:left="576"/>
      </w:pPr>
      <w:r>
        <w:t xml:space="preserve">(b) The necessity of the amendment to this administrative regulation:</w:t>
      </w:r>
    </w:p>
    <w:p>
      <w:pPr>
        <w:pStyle w:val="kar_normal"/>
        <w:ind w:left="720"/>
      </w:pPr>
      <w:r>
        <w:t xml:space="preserve">These regulation amendments were necessary due to SB 94, and the changes to KRS 314.042.</w:t>
      </w:r>
    </w:p>
    <w:p>
      <w:pPr>
        <w:pStyle w:val="kar_normal"/>
        <w:ind w:left="576"/>
      </w:pPr>
      <w:r>
        <w:t xml:space="preserve">(c) How the amendment conforms to the content of the authorizing statutes:</w:t>
      </w:r>
    </w:p>
    <w:p>
      <w:pPr>
        <w:pStyle w:val="kar_normal"/>
        <w:ind w:left="720"/>
      </w:pPr>
      <w:r>
        <w:t xml:space="preserve">By clearly stating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who wish to be in a CAPA-CS will need to use the form incorporated by reference. If the wish to request an exemption, they must be in good standing, provide a DEA and a PDMP registration, and meet the 4-year prescribing requirement.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other than the exemption request fee in 201 KAR 20:240, which is mandated by KRS 314.042(14)(b)(4),</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 however, a fee of $50 has been proposed in 201 KAR 20:240, which is mandated by KRS 314.042(14)(b)(4), and currently in promulgation.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 however, see KRS 314.042(14)(b)(4), and 201 KAR 20:240.</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218A.205(3)(a), (b), 314.131(1), 314.042, and 314.193.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aa3441c663434e" /><Relationship Type="http://schemas.openxmlformats.org/officeDocument/2006/relationships/settings" Target="/word/settings.xml" Id="R4b8f75dbaa904478" /></Relationships>
</file>