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5f6755c7d040a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w:t>
      </w:r>
      <w:r>
        <w:rPr>
          <w:u w:val="single"/>
        </w:rPr>
        <w:t xml:space="preserve">314.042(11),</w:t>
      </w:r>
      <w:r>
        <w:t xml:space="preserve"> 314.073, 314.991(1)-(3), 620.020(8)</w:t>
      </w:r>
    </w:p>
    <w:p>
      <w:pPr>
        <w:pStyle w:val="kar_markup_metadata"/>
      </w:pPr>
      <w:r>
        <w:t xml:space="preserve">STATUTORY AUTHORITY: </w:t>
      </w:r>
      <w:r>
        <w:t xml:space="preserve">KRS 218A.205(3)(i), 314.073, 314.131(1), (2)</w:t>
      </w:r>
    </w:p>
    <w:p>
      <w:pPr>
        <w:pStyle w:val="kar_markup_metadata"/>
      </w:pPr>
      <w:r>
        <w:t xml:space="preserve">CERTIFICATION STATEMENT: </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w:t>
      </w:r>
    </w:p>
    <w:p>
      <w:pPr>
        <w:pStyle w:val="kar_subparagraph"/>
      </w:pPr>
      <w:r>
        <w:rPr>
          <w:u w:val="single"/>
        </w:rPr>
        <w:t xml:space="preserve">1.</w:t>
      </w:r>
      <w:r>
        <w:t xml:space="preserve"> </w:t>
      </w:r>
      <w:r>
        <w:t xml:space="preserve">The nurse shall submit the Nursing Continuing Education Employment Evaluation Form, completed and signed by the nurse's supervisor or employer, which shall cover a period of at least six (6) months during the earning period</w:t>
      </w:r>
      <w:r>
        <w:t>[</w:t>
      </w:r>
      <w:r>
        <w:rPr>
          <w:strike w:val="true"/>
        </w:rPr>
        <w:t xml:space="preserve">.</w:t>
      </w:r>
      <w:r>
        <w:t>]</w:t>
      </w:r>
      <w:r>
        <w:rPr>
          <w:u w:val="single"/>
        </w:rPr>
        <w:t xml:space="preserve">; or</w:t>
      </w:r>
    </w:p>
    <w:p>
      <w:pPr>
        <w:pStyle w:val="kar_subparagraph"/>
      </w:pPr>
      <w:r>
        <w:rPr>
          <w:u w:val="single"/>
        </w:rPr>
        <w:t xml:space="preserve">2.</w:t>
      </w:r>
      <w:r>
        <w:t xml:space="preserve"> </w:t>
      </w:r>
      <w:r>
        <w:rPr>
          <w:u w:val="single"/>
        </w:rPr>
        <w:t xml:space="preserve">The board may accept from the employer a standard employee evaluation, which covers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rPr>
          <w:u w:val="single"/>
        </w:rPr>
        <w:t xml:space="preserve">An Advanced Practice Registered Nurse (APRN)</w:t>
      </w:r>
      <w:r>
        <w:t>[</w:t>
      </w:r>
      <w:r>
        <w:rPr>
          <w:strike w:val="true"/>
        </w:rPr>
        <w:t xml:space="preserve">Advanced practice registered nurses who do not have a Collaborative Agreement for Advanced Practice Registered Nurse's Prescriptive Authority for Controlled Substances (CAPA-CS) pursuant to KRS 314.042(10) or a waiver and registration issued by the United States Drug Enforcement Administration (DEA) to prescribe buprenorphine for the treatment of opioid use disorder</w:t>
      </w:r>
      <w:r>
        <w:t>]</w:t>
      </w:r>
      <w:r>
        <w:t xml:space="preserve"> shall earn a minimum of five (5) contact hours in pharmacology</w:t>
      </w:r>
      <w:r>
        <w:rPr>
          <w:u w:val="single"/>
        </w:rPr>
        <w:t xml:space="preserve">, as required by KRS 314.073(8)</w:t>
      </w:r>
      <w:r>
        <w:t xml:space="preserve">.</w:t>
      </w:r>
    </w:p>
    <w:p>
      <w:pPr>
        <w:pStyle w:val="kar_paragraph"/>
      </w:pPr>
      <w:r>
        <w:t xml:space="preserve">(b)</w:t>
      </w:r>
      <w:r>
        <w:t xml:space="preserve"> </w:t>
      </w:r>
      <w:r>
        <w:t>[</w:t>
      </w:r>
      <w:r>
        <w:rPr>
          <w:strike w:val="true"/>
        </w:rPr>
        <w:t xml:space="preserve">Advanced practice registered nurses</w:t>
      </w:r>
      <w:r>
        <w:t>]</w:t>
      </w:r>
      <w:r>
        <w:rPr>
          <w:u w:val="single"/>
        </w:rPr>
        <w:t xml:space="preserve">An APRN who is registered with the DEA and has a PDMP account, as defined by administrative regulation 201 KAR 20:057, Section 1(7),</w:t>
      </w:r>
      <w:r>
        <w:t>[</w:t>
      </w:r>
      <w:r>
        <w:rPr>
          <w:strike w:val="true"/>
        </w:rPr>
        <w:t xml:space="preserve">with a Collaborative Agreement for Advanced Practice Registered Nurse's Prescriptive Authority for Controlled Substances (CAPA-CS) pursuant to KRS 314.042(10) who do not have a waiver and registration issued by the DEA to prescribe buprenorphine for the treatment of opioid use disorder </w:t>
      </w:r>
      <w:r>
        <w:t>]</w:t>
      </w:r>
      <w:r>
        <w:t xml:space="preserve">shall earn a minimum of five (5) contact hours in pharmacology, including at least </w:t>
      </w:r>
      <w:r>
        <w:t>[</w:t>
      </w:r>
      <w:r>
        <w:rPr>
          <w:strike w:val="true"/>
        </w:rPr>
        <w:t xml:space="preserve">one and one-half (1.5)</w:t>
      </w:r>
      <w:r>
        <w:t>]</w:t>
      </w:r>
      <w:r>
        <w:rPr>
          <w:u w:val="single"/>
        </w:rPr>
        <w:t xml:space="preserve">three (3)</w:t>
      </w:r>
      <w:r>
        <w:t xml:space="preserve"> contact hours on </w:t>
      </w:r>
      <w:r>
        <w:t>[</w:t>
      </w:r>
      <w:r>
        <w:rPr>
          <w:strike w:val="true"/>
        </w:rPr>
        <w:t xml:space="preserve">the dual subjects of pharmacology and </w:t>
      </w:r>
      <w:r>
        <w:t>]</w:t>
      </w:r>
      <w:r>
        <w:t xml:space="preserve">either pain management or addiction disorders.</w:t>
      </w:r>
    </w:p>
    <w:p>
      <w:pPr>
        <w:pStyle w:val="kar_paragraph"/>
      </w:pPr>
      <w:r>
        <w:t xml:space="preserve">(c)</w:t>
      </w:r>
      <w:r>
        <w:t xml:space="preserve"> </w:t>
      </w:r>
      <w:r>
        <w:t>[</w:t>
      </w:r>
      <w:r>
        <w:rPr>
          <w:strike w:val="true"/>
        </w:rPr>
        <w:t xml:space="preserve">Advanced practice registered nurses who have a waiver and registration issued by the DEA to prescribe buprenorphine for the treatment of opioid use disorder shall earn:</w:t>
      </w:r>
      <w:r>
        <w:t>]</w:t>
      </w:r>
    </w:p>
    <w:p>
      <w:pPr>
        <w:pStyle w:val="kar_subparagraph"/>
      </w:pPr>
      <w:r>
        <w:t>[</w:t>
      </w:r>
      <w:r>
        <w:rPr>
          <w:strike w:val="true"/>
        </w:rPr>
        <w:t xml:space="preserve">1.</w:t>
      </w:r>
      <w:r>
        <w:t>]</w:t>
      </w:r>
      <w:r>
        <w:t xml:space="preserve"> </w:t>
      </w:r>
      <w:r>
        <w:t>[</w:t>
      </w:r>
      <w:r>
        <w:rPr>
          <w:strike w:val="true"/>
        </w:rPr>
        <w:t xml:space="preserve">A minimum of five (5) contact hours annually in pharmacology, of which one and one-half (1.5) pharmacology hours shall be on the dual subjects of addiction disorders and pharmacology; and</w:t>
      </w:r>
      <w:r>
        <w:t>]</w:t>
      </w:r>
    </w:p>
    <w:p>
      <w:pPr>
        <w:pStyle w:val="kar_subparagraph"/>
      </w:pPr>
      <w:r>
        <w:t>[</w:t>
      </w:r>
      <w:r>
        <w:rPr>
          <w:strike w:val="true"/>
        </w:rPr>
        <w:t xml:space="preserve">2.</w:t>
      </w:r>
      <w:r>
        <w:t>]</w:t>
      </w:r>
      <w:r>
        <w:t xml:space="preserve"> </w:t>
      </w:r>
      <w:r>
        <w:t>[</w:t>
      </w:r>
      <w:r>
        <w:rPr>
          <w:strike w:val="true"/>
        </w:rPr>
        <w:t xml:space="preserve">An additional two and one-half (2.5) contact hours annually on addiction disorders.</w:t>
      </w:r>
      <w:r>
        <w:t>]</w:t>
      </w:r>
    </w:p>
    <w:p>
      <w:pPr>
        <w:pStyle w:val="kar_paragraph"/>
      </w:pPr>
      <w:r>
        <w:t>[</w:t>
      </w:r>
      <w:r>
        <w:rPr>
          <w:strike w:val="true"/>
        </w:rPr>
        <w:t xml:space="preserve">(d)</w:t>
      </w:r>
      <w:r>
        <w:t>]</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rPr>
          <w:u w:val="single"/>
        </w:rPr>
        <w:t xml:space="preserve">(d)</w:t>
      </w:r>
      <w:r>
        <w:t>[</w:t>
      </w:r>
      <w:r>
        <w:rPr>
          <w:strike w:val="true"/>
        </w:rPr>
        <w:t xml:space="preserve">(e)</w:t>
      </w:r>
      <w:r>
        <w:t>]</w:t>
      </w:r>
      <w:r>
        <w:t xml:space="preserve"> </w:t>
      </w:r>
      <w:r>
        <w:t xml:space="preserve">Objectives for the contact hours related to pharmacology shall be identified. Casual mention of medications or medical treatments shall not qualify.</w:t>
      </w:r>
    </w:p>
    <w:p>
      <w:pPr>
        <w:pStyle w:val="kar_subsection"/>
      </w:pPr>
      <w:r>
        <w:rPr>
          <w:u w:val="single"/>
        </w:rPr>
        <w:t xml:space="preserve">(2)</w:t>
      </w:r>
      <w:r>
        <w:t xml:space="preserve"> </w:t>
      </w:r>
      <w:r>
        <w:rPr>
          <w:u w:val="single"/>
        </w:rPr>
        <w:t xml:space="preserve">After June 27, 2023, and before the advanced practitioner's next scheduled DEA registration, an APRN who has a DEA registration shall earn a minimum of eight (8) hours on the subject of treating and managing patients with opioid or other substance use disorders, including the appropriate clinical use of all drugs approved by the Food and Drug Administration for the treatment of a substance use disorder.</w:t>
      </w:r>
    </w:p>
    <w:p>
      <w:pPr>
        <w:pStyle w:val="kar_subsection"/>
      </w:pPr>
      <w:r>
        <w:rPr>
          <w:u w:val="single"/>
        </w:rPr>
        <w:t xml:space="preserve">(3)</w:t>
      </w:r>
      <w:r>
        <w:t xml:space="preserve"> </w:t>
      </w:r>
      <w:r>
        <w:rPr>
          <w:u w:val="single"/>
        </w:rPr>
        <w:t xml:space="preserve">The following APRNs shall be deemed to have satisfied the earning requirement in subsection (2) of this administrative regulation:</w:t>
      </w:r>
    </w:p>
    <w:p>
      <w:pPr>
        <w:pStyle w:val="kar_paragraph"/>
      </w:pPr>
      <w:r>
        <w:rPr>
          <w:u w:val="single"/>
        </w:rPr>
        <w:t xml:space="preserve">(a)</w:t>
      </w:r>
      <w:r>
        <w:t xml:space="preserve"> </w:t>
      </w:r>
      <w:r>
        <w:rPr>
          <w:u w:val="single"/>
        </w:rPr>
        <w:t xml:space="preserve">Those who graduated from an advanced practice nursing school within five (5) years prior to June 27, 2023, and have successfully completed a comprehensive curriculum that included at least eight (8) hours of training on the subject of treating and managing patients with opioid or other substance use disorders, including the appropriate clinical use of all drugs approved by the Food and Drug Administration for the treatment of a substance use disorder; or</w:t>
      </w:r>
    </w:p>
    <w:p>
      <w:pPr>
        <w:pStyle w:val="kar_paragraph"/>
      </w:pPr>
      <w:r>
        <w:rPr>
          <w:u w:val="single"/>
        </w:rPr>
        <w:t xml:space="preserve">(b)</w:t>
      </w:r>
      <w:r>
        <w:t xml:space="preserve"> </w:t>
      </w:r>
      <w:r>
        <w:rPr>
          <w:u w:val="single"/>
        </w:rPr>
        <w:t xml:space="preserve">Those who have satisfied this training by earning a minimum of eight (8) hours of training on treatment and management of patients with opioid or other substance use disorders. Past trainings on the treatment and management of patients with opioid or other substance use disorders can count towards a practitioner meeting this requirement, including past DATA-Waiver trainings.</w:t>
      </w:r>
    </w:p>
    <w:p>
      <w:pPr>
        <w:pStyle w:val="kar_paragraph"/>
      </w:pPr>
      <w:r>
        <w:rPr>
          <w:u w:val="single"/>
        </w:rPr>
        <w:t xml:space="preserve">(c)</w:t>
      </w:r>
      <w:r>
        <w:t xml:space="preserve"> </w:t>
      </w:r>
      <w:r>
        <w:rPr>
          <w:u w:val="single"/>
        </w:rPr>
        <w:t xml:space="preserve">In addition to continuing education providers approved by the board pursuant to 201 KAR 20:220, groups approved by the DEA or the Substance Abuse and Mental Health Services Administration (SAMHSA) may provide trainings that satisfy the earning requirement of subsection (2) of this administrative regulation.</w:t>
      </w:r>
    </w:p>
    <w:p>
      <w:pPr>
        <w:pStyle w:val="kar_subsection"/>
      </w:pPr>
      <w:r>
        <w:rPr>
          <w:u w:val="single"/>
        </w:rPr>
        <w:t xml:space="preserve">(4)</w:t>
      </w:r>
      <w:r>
        <w:t>[</w:t>
      </w:r>
      <w:r>
        <w:rPr>
          <w:strike w:val="true"/>
        </w:rPr>
        <w:t xml:space="preserve">(2)</w:t>
      </w:r>
      <w:r>
        <w:t>]</w:t>
      </w:r>
      <w:r>
        <w:t xml:space="preserve"> </w:t>
      </w:r>
      <w:r>
        <w:t xml:space="preserve">Sexual assault nurse examiners shall earn the continuing education required by 201 KAR 20:411, Section 8.</w:t>
      </w:r>
    </w:p>
    <w:p>
      <w:pPr>
        <w:pStyle w:val="kar_subsection"/>
      </w:pPr>
      <w:r>
        <w:rPr>
          <w:u w:val="single"/>
        </w:rPr>
        <w:t xml:space="preserve">(5)</w:t>
      </w:r>
      <w:r>
        <w:t>[</w:t>
      </w:r>
      <w:r>
        <w:rPr>
          <w:strike w:val="true"/>
        </w:rPr>
        <w:t xml:space="preserve">(3)</w:t>
      </w:r>
      <w:r>
        <w:t>]</w:t>
      </w:r>
      <w:r>
        <w:t xml:space="preserve"> </w:t>
      </w:r>
      <w:r>
        <w:t xml:space="preserve">Registered nurses and licensed practical nurses shall earn, within three (3) years of licensure, a minimum of one and one-half (1.5) contact hours in pediatric abusive head trauma as required by KRS 314.073(6), and a minimum of three (3) contact hours on domestic violence, and elder abuse, neglect, and exploitation as required by KRS 194A.540.</w:t>
      </w:r>
    </w:p>
    <w:p>
      <w:pPr>
        <w:pStyle w:val="kar_subsection"/>
      </w:pPr>
      <w:r>
        <w:rPr>
          <w:u w:val="single"/>
        </w:rPr>
        <w:t xml:space="preserve">(6)</w:t>
      </w:r>
      <w:r>
        <w:t>[</w:t>
      </w:r>
      <w:r>
        <w:rPr>
          <w:strike w:val="true"/>
        </w:rPr>
        <w:t xml:space="preserve">(4)</w:t>
      </w:r>
      <w:r>
        <w:t>]</w:t>
      </w:r>
      <w:r>
        <w:t xml:space="preserve"> </w:t>
      </w:r>
      <w:r>
        <w:t xml:space="preserve">Registered nurses, licensed practical nurses, and advanced practice registered nurses who hold an active nursing license on July 1, 2022, shall satisfy the continuing competency requirement in subsection (6) of this section on or before July 1, 2023.</w:t>
      </w:r>
    </w:p>
    <w:p>
      <w:pPr>
        <w:pStyle w:val="kar_subsection"/>
      </w:pPr>
      <w:r>
        <w:rPr>
          <w:u w:val="single"/>
        </w:rPr>
        <w:t xml:space="preserve">(7)</w:t>
      </w:r>
      <w:r>
        <w:t>[</w:t>
      </w:r>
      <w:r>
        <w:rPr>
          <w:strike w:val="true"/>
        </w:rPr>
        <w:t xml:space="preserve">(5)</w:t>
      </w:r>
      <w:r>
        <w:t>]</w:t>
      </w:r>
      <w:r>
        <w:t xml:space="preserve"> </w:t>
      </w:r>
      <w:r>
        <w:t xml:space="preserve">Registered nurses, licensed practical nurses, and advanced practice registered nurses who obtain licensure by examination, endorsement, or reinstatement after July 1, 2022, shall satisfy the continuing competency requirements in subsection (6) of this section within three (3) years of licensure.</w:t>
      </w:r>
    </w:p>
    <w:p>
      <w:pPr>
        <w:pStyle w:val="kar_subsection"/>
      </w:pPr>
      <w:r>
        <w:rPr>
          <w:u w:val="single"/>
        </w:rPr>
        <w:t xml:space="preserve">(8)</w:t>
      </w: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 xml:space="preserve">Nurses shall earn a minimum of two (2) contact hours on the subject of suicide prevention, which shall consist of one (1) contact hour on suicide prevention generally, and one (1) contact hour that addresses:</w:t>
      </w:r>
    </w:p>
    <w:p>
      <w:pPr>
        <w:pStyle w:val="kar_paragraph"/>
      </w:pPr>
      <w:r>
        <w:rPr>
          <w:u w:val="single"/>
        </w:rPr>
        <w:t xml:space="preserve">(a)</w:t>
      </w:r>
      <w:r>
        <w:t>[</w:t>
      </w:r>
      <w:r>
        <w:rPr>
          <w:strike w:val="true"/>
        </w:rPr>
        <w:t xml:space="preserve">1.</w:t>
      </w:r>
      <w:r>
        <w:t>]</w:t>
      </w:r>
      <w:r>
        <w:t xml:space="preserve"> </w:t>
      </w:r>
      <w:r>
        <w:t xml:space="preserve">Chronic toxic stress and secondary traumatic stress potentially increasing the incidence of suicide amongst nurses;</w:t>
      </w:r>
    </w:p>
    <w:p>
      <w:pPr>
        <w:pStyle w:val="kar_paragraph"/>
      </w:pPr>
      <w:r>
        <w:rPr>
          <w:u w:val="single"/>
        </w:rPr>
        <w:t xml:space="preserve">(b)</w:t>
      </w:r>
      <w:r>
        <w:t>[</w:t>
      </w:r>
      <w:r>
        <w:rPr>
          <w:strike w:val="true"/>
        </w:rPr>
        <w:t xml:space="preserve">2.</w:t>
      </w:r>
      <w:r>
        <w:t>]</w:t>
      </w:r>
      <w:r>
        <w:t xml:space="preserve"> </w:t>
      </w:r>
      <w:r>
        <w:t xml:space="preserve">A confidential and standardized pathway to care for nurses that addresses screening, assessing, safety planning, referrals, and follow-up for nurses at risk for suicide;</w:t>
      </w:r>
    </w:p>
    <w:p>
      <w:pPr>
        <w:pStyle w:val="kar_paragraph"/>
      </w:pPr>
      <w:r>
        <w:rPr>
          <w:u w:val="single"/>
        </w:rPr>
        <w:t xml:space="preserve">(c)</w:t>
      </w:r>
      <w:r>
        <w:t>[</w:t>
      </w:r>
      <w:r>
        <w:rPr>
          <w:strike w:val="true"/>
        </w:rPr>
        <w:t xml:space="preserve">3.</w:t>
      </w:r>
      <w:r>
        <w:t>]</w:t>
      </w:r>
      <w:r>
        <w:t xml:space="preserve"> </w:t>
      </w:r>
      <w:r>
        <w:t xml:space="preserve">Systems of care, evidence-informed approaches, and best practices to reduce suicide rates; and</w:t>
      </w:r>
    </w:p>
    <w:p>
      <w:pPr>
        <w:pStyle w:val="kar_paragraph"/>
      </w:pPr>
      <w:r>
        <w:rPr>
          <w:u w:val="single"/>
        </w:rPr>
        <w:t xml:space="preserve">(d)</w:t>
      </w:r>
      <w:r>
        <w:t>[</w:t>
      </w:r>
      <w:r>
        <w:rPr>
          <w:strike w:val="true"/>
        </w:rPr>
        <w:t xml:space="preserve">4.</w:t>
      </w:r>
      <w:r>
        <w:t>]</w:t>
      </w:r>
      <w:r>
        <w:t xml:space="preserve"> </w:t>
      </w:r>
      <w:r>
        <w:t xml:space="preserve">Ethical legal considerations of caring for patients and nurses who are suicidal.</w:t>
      </w:r>
    </w:p>
    <w:p>
      <w:pPr>
        <w:pStyle w:val="kar_paragraph"/>
      </w:pPr>
      <w:r>
        <w:t>[</w:t>
      </w:r>
      <w:r>
        <w:rPr>
          <w:strike w:val="true"/>
        </w:rPr>
        <w:t xml:space="preserve">(b)</w:t>
      </w:r>
      <w:r>
        <w:t>]</w:t>
      </w:r>
      <w:r>
        <w:t xml:space="preserve"> </w:t>
      </w:r>
      <w:r>
        <w:t>[</w:t>
      </w:r>
      <w:r>
        <w:rPr>
          <w:strike w:val="true"/>
        </w:rPr>
        <w:t xml:space="preserve">Nurses shall earn a minimum of one and one-half (1.5) contact hours in implicit bias that addresses:</w:t>
      </w:r>
      <w:r>
        <w:t>]</w:t>
      </w:r>
    </w:p>
    <w:p>
      <w:pPr>
        <w:pStyle w:val="kar_subparagraph"/>
      </w:pPr>
      <w:r>
        <w:t>[</w:t>
      </w:r>
      <w:r>
        <w:rPr>
          <w:strike w:val="true"/>
        </w:rPr>
        <w:t xml:space="preserve">1.</w:t>
      </w:r>
      <w:r>
        <w:t>]</w:t>
      </w:r>
      <w:r>
        <w:t xml:space="preserve"> </w:t>
      </w:r>
      <w:r>
        <w:t>[</w:t>
      </w:r>
      <w:r>
        <w:rPr>
          <w:strike w:val="true"/>
        </w:rPr>
        <w:t xml:space="preserve">The impact of historical racism and other forms of invidious discrimination on the provision of healthcare;</w:t>
      </w:r>
      <w:r>
        <w:t>]</w:t>
      </w:r>
    </w:p>
    <w:p>
      <w:pPr>
        <w:pStyle w:val="kar_subparagraph"/>
      </w:pPr>
      <w:r>
        <w:t>[</w:t>
      </w:r>
      <w:r>
        <w:rPr>
          <w:strike w:val="true"/>
        </w:rPr>
        <w:t xml:space="preserve">2.</w:t>
      </w:r>
      <w:r>
        <w:t>]</w:t>
      </w:r>
      <w:r>
        <w:t xml:space="preserve"> </w:t>
      </w:r>
      <w:r>
        <w:t>[</w:t>
      </w:r>
      <w:r>
        <w:rPr>
          <w:strike w:val="true"/>
        </w:rPr>
        <w:t xml:space="preserve">Methods of evaluating the presence and extent of implicit bias; and</w:t>
      </w:r>
      <w:r>
        <w:t>]</w:t>
      </w:r>
    </w:p>
    <w:p>
      <w:pPr>
        <w:pStyle w:val="kar_subparagraph"/>
      </w:pPr>
      <w:r>
        <w:t>[</w:t>
      </w:r>
      <w:r>
        <w:rPr>
          <w:strike w:val="true"/>
        </w:rPr>
        <w:t xml:space="preserve">3.</w:t>
      </w:r>
      <w:r>
        <w:t>]</w:t>
      </w:r>
      <w:r>
        <w:t xml:space="preserve"> </w:t>
      </w:r>
      <w:r>
        <w:t>[</w:t>
      </w:r>
      <w:r>
        <w:rPr>
          <w:strike w:val="true"/>
        </w:rPr>
        <w:t xml:space="preserve">Measures that may be taken to reduce implicit bias.</w:t>
      </w:r>
      <w:r>
        <w:t>]</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CE Broker, the continuing education tracking system utilized by the board, via https://cebroker.com.</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w:t>
      </w:r>
      <w:r>
        <w:rPr>
          <w:u w:val="single"/>
        </w:rPr>
        <w:t xml:space="preserve">9/2023</w:t>
      </w:r>
      <w:r>
        <w:t>[</w:t>
      </w:r>
      <w:r>
        <w:rPr>
          <w:strike w:val="true"/>
        </w:rPr>
        <w:t xml:space="preserve">9/2005</w:t>
      </w:r>
      <w:r>
        <w:t>]</w:t>
      </w:r>
      <w:r>
        <w:t xml:space="preserve">;</w:t>
      </w:r>
    </w:p>
    <w:p>
      <w:pPr>
        <w:pStyle w:val="kar_paragraph"/>
      </w:pPr>
      <w:r>
        <w:t xml:space="preserve">(b)</w:t>
      </w:r>
      <w:r>
        <w:t xml:space="preserve"> </w:t>
      </w:r>
      <w:r>
        <w:t xml:space="preserve">"Nursing Continuing Education Employment Evaluation Form", </w:t>
      </w:r>
      <w:r>
        <w:rPr>
          <w:u w:val="single"/>
        </w:rPr>
        <w:t xml:space="preserve">9/2023</w:t>
      </w:r>
      <w:r>
        <w:t>[</w:t>
      </w:r>
      <w:r>
        <w:rPr>
          <w:strike w:val="true"/>
        </w:rPr>
        <w:t xml:space="preserve">6/2021</w:t>
      </w:r>
      <w:r>
        <w:t>]</w:t>
      </w:r>
      <w:r>
        <w:t xml:space="preserve">; and</w:t>
      </w:r>
    </w:p>
    <w:p>
      <w:pPr>
        <w:pStyle w:val="kar_paragraph"/>
      </w:pPr>
      <w:r>
        <w:t xml:space="preserve">(c)</w:t>
      </w:r>
      <w:r>
        <w:t xml:space="preserve"> </w:t>
      </w:r>
      <w:r>
        <w:t xml:space="preserve">"Preceptor Continuing Education Verification Form", </w:t>
      </w:r>
      <w:r>
        <w:rPr>
          <w:u w:val="single"/>
        </w:rPr>
        <w:t xml:space="preserve">9/2023</w:t>
      </w:r>
      <w:r>
        <w:t>[</w:t>
      </w:r>
      <w:r>
        <w:rPr>
          <w:strike w:val="true"/>
        </w:rPr>
        <w:t xml:space="preserve">6/2021</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w:t>
      </w:r>
      <w:r>
        <w:rPr>
          <w:u w:val="single"/>
        </w:rPr>
        <w:t xml:space="preserve">https://kbn.ky.gov/General/Pages/Document-Library.aspx</w:t>
      </w:r>
      <w:r>
        <w:t>[</w:t>
      </w:r>
      <w:r>
        <w:rPr>
          <w:strike w:val="true"/>
        </w:rPr>
        <w:t xml:space="preserve">https://kbn.ky.gov/legalopinions/Pages/laws.aspx</w:t>
      </w:r>
      <w:r>
        <w:t>]</w:t>
      </w:r>
      <w:r>
        <w:t xml:space="preserve">.</w:t>
      </w:r>
    </w:p>
    <w:p>
      <w:pPr>
        <w:pStyle w:val="kar_signature"/>
      </w:pPr>
      <w:r>
        <w:t xml:space="preserve">AUDRIA DENKER, President</w:t>
      </w:r>
    </w:p>
    <w:p>
      <w:pPr>
        <w:pStyle w:val="kar_approved_by"/>
      </w:pPr>
      <w:r>
        <w:t xml:space="preserve">APPROVED BY AGENCY: August 24, 2023</w:t>
      </w:r>
    </w:p>
    <w:p>
      <w:pPr>
        <w:pStyle w:val="kar_filed"/>
      </w:pPr>
      <w:r>
        <w:t xml:space="preserve">FILED WITH LRC: September 12, 2023 at 9:40 a.m.</w:t>
      </w:r>
    </w:p>
    <w:p>
      <w:pPr>
        <w:pStyle w:val="kar_comment_period"/>
      </w:pPr>
      <w:r>
        <w:t xml:space="preserve">PUBLIC HEARING AND PUBLIC COMMENT PERIOD: A public hearing on this administrative regulation shall be held on November 21, 2023 at 10:00 a.m. at Kentucky Board of Nursing, 312 Whittington Parkway, Ste 300, Louisville, Kentucky 40222. Individuals interested in being heard at this hearing shall notify this agency in writing by November 14,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phone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Continuing Education (CE) requirements for nurses, as required by KRS 314.073 and 314.131.</w:t>
      </w:r>
    </w:p>
    <w:p>
      <w:pPr>
        <w:pStyle w:val="kar_normal"/>
        <w:ind w:left="576"/>
      </w:pPr>
      <w:r>
        <w:t xml:space="preserve">(b) The necessity of this administrative regulation:</w:t>
      </w:r>
    </w:p>
    <w:p>
      <w:pPr>
        <w:pStyle w:val="kar_normal"/>
        <w:ind w:left="720"/>
      </w:pPr>
      <w:r>
        <w:t xml:space="preserve">CEs are mandated by KRS 314.073 and 314.131.</w:t>
      </w:r>
    </w:p>
    <w:p>
      <w:pPr>
        <w:pStyle w:val="kar_normal"/>
        <w:ind w:left="576"/>
      </w:pPr>
      <w:r>
        <w:t xml:space="preserve">(c) How this administrative regulation conforms to the content of the authorizing statutes:</w:t>
      </w:r>
    </w:p>
    <w:p>
      <w:pPr>
        <w:pStyle w:val="kar_normal"/>
        <w:ind w:left="720"/>
      </w:pPr>
      <w:r>
        <w:t xml:space="preserve">By setting CE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CEs for required training on subjects to maintain competency.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provide that the Board may accept a satisfactory standard employee evaluation, in lieu of a "Nursing Continuing Education Employment Evaluation Form" to obtain seven hours of CE credit; remove references to educational requirements for APRNs with an X-waiver; streamline requirements for APRNs who have a DEA certification and a PDMP account to require 3 hours of CEs on either pain management or addiction disorders; require that an that an APRN who has prescribes controlled substances shall have had eight hours of education training on managing and treating opioid and other substance abuse disorders, but provides an exemption for APRNs who previously held an X-waiver; provide that training by groups approved by the DEA and the Substance Abuse and Mental Health Services Administration; and remove the Implicit Bias training from continuing education requirements.</w:t>
      </w:r>
    </w:p>
    <w:p>
      <w:pPr>
        <w:pStyle w:val="kar_normal"/>
        <w:ind w:left="576"/>
      </w:pPr>
      <w:r>
        <w:t xml:space="preserve">(b) The necessity of the amendment to this administrative regulation:</w:t>
      </w:r>
    </w:p>
    <w:p>
      <w:pPr>
        <w:pStyle w:val="kar_normal"/>
        <w:ind w:left="720"/>
      </w:pPr>
      <w:r>
        <w:t xml:space="preserve">To provide nurses with an option to provide CEs, to removed references to the X-waiver requirement, which was eliminated in December of 2022; to remove Implicit Bias training as a requirement.</w:t>
      </w:r>
    </w:p>
    <w:p>
      <w:pPr>
        <w:pStyle w:val="kar_normal"/>
        <w:ind w:left="576"/>
      </w:pPr>
      <w:r>
        <w:t xml:space="preserve">(c) How the amendment conforms to the content of the authorizing statutes:</w:t>
      </w:r>
    </w:p>
    <w:p>
      <w:pPr>
        <w:pStyle w:val="kar_normal"/>
        <w:ind w:left="720"/>
      </w:pPr>
      <w:r>
        <w:t xml:space="preserve">By setting CE standards in accordance with KRS 314.073 and 314.131.</w:t>
      </w:r>
    </w:p>
    <w:p>
      <w:pPr>
        <w:pStyle w:val="kar_normal"/>
        <w:ind w:left="576"/>
      </w:pPr>
      <w:r>
        <w:t xml:space="preserve">(d) How the amendment will assist in the effective administration of the statutes:</w:t>
      </w:r>
    </w:p>
    <w:p>
      <w:pPr>
        <w:pStyle w:val="kar_normal"/>
        <w:ind w:left="720"/>
      </w:pPr>
      <w:r>
        <w:t xml:space="preserve">By assisting with the administration of KRS 314.073 and 314.131.</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nurses licensed by the board, approximately 90,000.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If audited, nurses will need to provide evidence of meeting CE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is impossible to determine the amount, each CE may be obtained for free or a cost.</w:t>
      </w:r>
    </w:p>
    <w:p>
      <w:pPr>
        <w:pStyle w:val="kar_normal"/>
        <w:ind w:left="576"/>
      </w:pPr>
      <w:r>
        <w:t xml:space="preserve">(c) As a result of compliance, what benefits will accrue to the entities identified in question (3):</w:t>
      </w:r>
    </w:p>
    <w:p>
      <w:pPr>
        <w:pStyle w:val="kar_normal"/>
        <w:ind w:left="720"/>
      </w:pPr>
      <w:r>
        <w:t xml:space="preserve">Compliance with statutes and regulations and continued competency.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 Or reasonable fees may be recouped by regulation established under KRS 314.073(7) and KRS Chapter 13A.</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is fees is not required at this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Kentucky Revised Statutes KRS 218A.205, 314.073,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ad81a461a14800" /><Relationship Type="http://schemas.openxmlformats.org/officeDocument/2006/relationships/settings" Target="/word/settings.xml" Id="Rce67080214f742a1" /></Relationships>
</file>