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f227f446d84bba"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CERTIFICATION STATEMENT: </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p>
    <w:p>
      <w:pPr>
        <w:pStyle w:val="kar_history"/>
      </w:pPr>
      <w:r>
        <w:t xml:space="preserve">(19 Ky.R. 1018; Am. 1340; eff. 11-30-92; 27 Ky.R. 194; 738; eff. 9-11-2000; 39 Ky.R. 508; eff. 2-1-2013; 47 Ky.R. 2031; 48 Ky.R. 23; eff. 7-21-2021; 50 Ky.R. 99, 1057; eff. 12-13-2023.)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e7f59ac714af6" /><Relationship Type="http://schemas.openxmlformats.org/officeDocument/2006/relationships/settings" Target="/word/settings.xml" Id="R42a25db71b2741e5" /></Relationships>
</file>