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ada1e35b5804627" /></Relationships>
</file>

<file path=word/document.xml><?xml version="1.0" encoding="utf-8"?>
<w:document xmlns:w="http://schemas.openxmlformats.org/wordprocessingml/2006/main">
  <w:body>
    <w:p>
      <w:pPr>
        <w:pStyle w:val="kar_markup_header"/>
      </w:pPr>
      <w:r>
        <w:t xml:space="preserve">EXECUTIVE CABINET</w:t>
      </w:r>
    </w:p>
    <w:p>
      <w:pPr>
        <w:pStyle w:val="kar_markup_header"/>
      </w:pPr>
      <w:r>
        <w:t xml:space="preserve">Kentucky Commission on Human Rights</w:t>
      </w:r>
    </w:p>
    <w:p>
      <w:pPr>
        <w:pStyle w:val="kar_markup_header"/>
        <w:ind w:firstLine="0"/>
      </w:pPr>
      <w:r>
        <w:t>(Amended at ARRS Committee)</w:t>
      </w:r>
    </w:p>
    <w:p>
      <w:pPr>
        <w:pStyle w:val="kar_citation"/>
      </w:pPr>
      <w:r>
        <w:t>104 KAR 1:050.</w:t>
      </w:r>
      <w:r>
        <w:t xml:space="preserve"> </w:t>
      </w:r>
      <w:r>
        <w:t xml:space="preserve">Standards and procedures for providing equal employment opportunities.</w:t>
      </w:r>
    </w:p>
    <w:p>
      <w:pPr>
        <w:pStyle w:val="kar_normal"/>
      </w:pPr>
      <w:r>
        <w:t xml:space="preserve">RELATES TO: </w:t>
      </w:r>
      <w:r>
        <w:t xml:space="preserve">KRS 344.010-344.500, 344.990, 29 C.F.R. 1604.1-1604.4, 1604.6-1604.11, 1605.1-1605.3, 1606.1-1606.8, 1607.1-1607.16, </w:t>
      </w:r>
      <w:r>
        <w:rPr>
          <w:u w:val="single"/>
        </w:rPr>
        <w:t xml:space="preserve">1608, </w:t>
      </w:r>
      <w:r>
        <w:rPr>
          <w:b/>
          <w:i/>
          <w:u w:val="single"/>
        </w:rPr>
        <w:t xml:space="preserve">1625, </w:t>
      </w:r>
      <w:r>
        <w:t xml:space="preserve">1630</w:t>
      </w:r>
    </w:p>
    <w:p>
      <w:pPr>
        <w:pStyle w:val="kar_normal"/>
      </w:pPr>
      <w:r>
        <w:t xml:space="preserve">STATUTORY AUTHORITY: </w:t>
      </w:r>
      <w:r>
        <w:t xml:space="preserve">KRS 344.190, 29 C.F.R. 1604.1-1604.11, 1605, </w:t>
      </w:r>
      <w:r>
        <w:rPr>
          <w:b/>
          <w:i/>
          <w:u w:val="single"/>
        </w:rPr>
        <w:t xml:space="preserve">1606, </w:t>
      </w:r>
      <w:r>
        <w:t xml:space="preserve">1607, </w:t>
      </w:r>
      <w:r>
        <w:rPr>
          <w:u w:val="single"/>
        </w:rPr>
        <w:t xml:space="preserve">1608, </w:t>
      </w:r>
      <w:r>
        <w:t xml:space="preserve">1630</w:t>
      </w:r>
      <w:r>
        <w:t>[</w:t>
      </w:r>
      <w:r>
        <w:rPr>
          <w:b/>
          <w:i/>
          <w:strike w:val="true"/>
        </w:rPr>
        <w:t xml:space="preserve">, 29 C.F.R. 1606</w:t>
      </w:r>
      <w:r>
        <w:t>]</w:t>
      </w:r>
    </w:p>
    <w:p>
      <w:pPr>
        <w:pStyle w:val="kar_normal"/>
      </w:pPr>
      <w:r>
        <w:t xml:space="preserve">CERTIFICATION STATEMENT: </w:t>
      </w:r>
    </w:p>
    <w:p>
      <w:pPr>
        <w:pStyle w:val="kar_normal"/>
      </w:pPr>
      <w:r>
        <w:t xml:space="preserve">NECESSITY, FUNCTION, AND CONFORMITY: </w:t>
      </w:r>
      <w:r>
        <w:rPr>
          <w:b/>
          <w:i/>
          <w:u w:val="single"/>
        </w:rPr>
        <w:t xml:space="preserve">KRS 344.190(14) requires the Kentucky Commission on Human Rights to promulgate administrative regulations to effect the purposes of KRS Chapter 344, including requiring the posting of notices prepared or approved by the commission. </w:t>
      </w:r>
      <w:r>
        <w:t xml:space="preserve">This administrative regulation establishes employment standards and procedures promulgated by the EEOC and enforced by the Kentucky Commission on Human Rights.</w:t>
      </w:r>
    </w:p>
    <w:p>
      <w:pPr>
        <w:pStyle w:val="kar_section"/>
      </w:pPr>
      <w:r>
        <w:t xml:space="preserve">Section 1.</w:t>
      </w:r>
      <w:r>
        <w:t xml:space="preserve"> </w:t>
      </w:r>
      <w:r>
        <w:t xml:space="preserve">Employment Discrimination Guidelines. In the determination of issues prohibiting employment discrimination the commission shall follow and enforce </w:t>
      </w:r>
      <w:r>
        <w:rPr>
          <w:u w:val="single"/>
        </w:rPr>
        <w:t xml:space="preserve">the following </w:t>
      </w:r>
      <w:r>
        <w:t xml:space="preserve">guidelines promulgated by the Equal Employment Opportunity Commission</w:t>
      </w:r>
      <w:r>
        <w:rPr>
          <w:u w:val="single"/>
        </w:rPr>
        <w:t xml:space="preserve">:</w:t>
      </w:r>
      <w:r>
        <w:t>[</w:t>
      </w:r>
      <w:r>
        <w:rPr>
          <w:strike w:val="true"/>
        </w:rPr>
        <w:t xml:space="preserve">.</w:t>
      </w:r>
      <w:r>
        <w:t>]</w:t>
      </w:r>
    </w:p>
    <w:p>
      <w:pPr>
        <w:pStyle w:val="kar_section"/>
      </w:pPr>
      <w:r>
        <w:t>[</w:t>
      </w:r>
      <w:r>
        <w:rPr>
          <w:strike w:val="true"/>
        </w:rPr>
        <w:t xml:space="preserve">Section 2.</w:t>
      </w:r>
      <w:r>
        <w:t>]</w:t>
      </w:r>
      <w:r>
        <w:t xml:space="preserve"> </w:t>
      </w:r>
      <w:r>
        <w:t>[</w:t>
      </w:r>
      <w:r>
        <w:rPr>
          <w:strike w:val="true"/>
        </w:rPr>
        <w:t xml:space="preserve">Federal Regulations Adopted Without Change.</w:t>
      </w:r>
      <w:r>
        <w:t>]</w:t>
      </w:r>
    </w:p>
    <w:p>
      <w:pPr>
        <w:pStyle w:val="kar_subsection"/>
      </w:pPr>
      <w:r>
        <w:t xml:space="preserve">(1)</w:t>
      </w:r>
      <w:r>
        <w:t xml:space="preserve"> </w:t>
      </w:r>
      <w:r>
        <w:t>[</w:t>
      </w:r>
      <w:r>
        <w:rPr>
          <w:strike w:val="true"/>
        </w:rPr>
        <w:t xml:space="preserve">The following federal regulations are adopted without change:</w:t>
      </w:r>
      <w:r>
        <w:t>]</w:t>
      </w:r>
    </w:p>
    <w:p>
      <w:pPr>
        <w:pStyle w:val="kar_paragraph"/>
      </w:pPr>
      <w:r>
        <w:t>[</w:t>
      </w:r>
      <w:r>
        <w:rPr>
          <w:strike w:val="true"/>
        </w:rPr>
        <w:t xml:space="preserve">(a)</w:t>
      </w:r>
      <w:r>
        <w:t>]</w:t>
      </w:r>
      <w:r>
        <w:t xml:space="preserve"> </w:t>
      </w:r>
      <w:r>
        <w:rPr>
          <w:u w:val="single"/>
        </w:rPr>
        <w:t xml:space="preserve">Part 1605—Guidelines on Discrimination Because of Religion (and Appendix A to 1605.2 and 1605.3—Background Information);</w:t>
      </w:r>
      <w:r>
        <w:t>[</w:t>
      </w:r>
      <w:r>
        <w:rPr>
          <w:strike w:val="true"/>
        </w:rPr>
        <w:t xml:space="preserve">"EEOC Guidelines on Discrimination Because of Religion (with Appendix A - Background Information):</w:t>
      </w:r>
      <w:r>
        <w:t>]</w:t>
      </w:r>
      <w:r>
        <w:t xml:space="preserve"> 29 C.F.R. 1605.1 to 1605.3</w:t>
      </w:r>
      <w:r>
        <w:rPr>
          <w:u w:val="single"/>
        </w:rPr>
        <w:t xml:space="preserve">;</w:t>
      </w:r>
      <w:r>
        <w:t>[</w:t>
      </w:r>
      <w:r>
        <w:rPr>
          <w:strike w:val="true"/>
        </w:rPr>
        <w:t xml:space="preserve">",</w:t>
      </w:r>
      <w:r>
        <w:t>]</w:t>
      </w:r>
      <w:r>
        <w:t xml:space="preserve"> 45 Federal Register 72612, October 31, 1980</w:t>
      </w:r>
      <w:r>
        <w:rPr>
          <w:u w:val="single"/>
        </w:rPr>
        <w:t xml:space="preserve">;</w:t>
      </w:r>
      <w:r>
        <w:t>[</w:t>
      </w:r>
      <w:r>
        <w:rPr>
          <w:strike w:val="true"/>
        </w:rPr>
        <w:t xml:space="preserve">.</w:t>
      </w:r>
      <w:r>
        <w:t>]</w:t>
      </w:r>
    </w:p>
    <w:p>
      <w:pPr>
        <w:pStyle w:val="kar_subsection"/>
      </w:pPr>
      <w:r>
        <w:rPr>
          <w:u w:val="single"/>
        </w:rPr>
        <w:t xml:space="preserve">(2)</w:t>
      </w:r>
      <w:r>
        <w:t>[</w:t>
      </w:r>
      <w:r>
        <w:rPr>
          <w:strike w:val="true"/>
        </w:rPr>
        <w:t xml:space="preserve">(b)</w:t>
      </w:r>
      <w:r>
        <w:t>]</w:t>
      </w:r>
      <w:r>
        <w:t xml:space="preserve"> </w:t>
      </w:r>
      <w:r>
        <w:rPr>
          <w:u w:val="single"/>
        </w:rPr>
        <w:t xml:space="preserve">Part 1604—Guidelines on Discrimination Because of Sex (and Appendix to Part 1604—Questions and Answers on the Pregnancy Discrimination Act);</w:t>
      </w:r>
      <w:r>
        <w:t>[</w:t>
      </w:r>
      <w:r>
        <w:rPr>
          <w:strike w:val="true"/>
        </w:rPr>
        <w:t xml:space="preserve">"EEOC Guidelines on Sex Discrimination (with Appendix to Part 1604 - Questions and Answers on the Pregnancy Discrimination Act):</w:t>
      </w:r>
      <w:r>
        <w:t>]</w:t>
      </w:r>
      <w:r>
        <w:t xml:space="preserve"> 29 C.F.R. 1604.1 to 1604.4 and 1604.6 to 1604.11</w:t>
      </w:r>
      <w:r>
        <w:rPr>
          <w:u w:val="single"/>
        </w:rPr>
        <w:t xml:space="preserve">;</w:t>
      </w:r>
      <w:r>
        <w:t>[</w:t>
      </w:r>
      <w:r>
        <w:rPr>
          <w:strike w:val="true"/>
        </w:rPr>
        <w:t xml:space="preserve">",</w:t>
      </w:r>
      <w:r>
        <w:t>]</w:t>
      </w:r>
      <w:r>
        <w:t xml:space="preserve"> 37 Federal Register 6836, April 5, 1972</w:t>
      </w:r>
      <w:r>
        <w:rPr>
          <w:u w:val="single"/>
        </w:rPr>
        <w:t xml:space="preserve">;</w:t>
      </w:r>
      <w:r>
        <w:t>[</w:t>
      </w:r>
      <w:r>
        <w:rPr>
          <w:strike w:val="true"/>
        </w:rPr>
        <w:t xml:space="preserve">and </w:t>
      </w:r>
      <w:r>
        <w:t>]</w:t>
      </w:r>
      <w:r>
        <w:t xml:space="preserve">44 Federal Register 23805, April 20, 1979</w:t>
      </w:r>
      <w:r>
        <w:rPr>
          <w:u w:val="single"/>
        </w:rPr>
        <w:t xml:space="preserve">; and 64 Federal Register 58333-01, October 29, 1999;</w:t>
      </w:r>
      <w:r>
        <w:t>[</w:t>
      </w:r>
      <w:r>
        <w:rPr>
          <w:strike w:val="true"/>
        </w:rPr>
        <w:t xml:space="preserve">.</w:t>
      </w:r>
      <w:r>
        <w:t>]</w:t>
      </w:r>
    </w:p>
    <w:p>
      <w:pPr>
        <w:pStyle w:val="kar_subsection"/>
      </w:pPr>
      <w:r>
        <w:rPr>
          <w:u w:val="single"/>
        </w:rPr>
        <w:t xml:space="preserve">(3)</w:t>
      </w:r>
      <w:r>
        <w:t>[</w:t>
      </w:r>
      <w:r>
        <w:rPr>
          <w:strike w:val="true"/>
        </w:rPr>
        <w:t xml:space="preserve">(c)</w:t>
      </w:r>
      <w:r>
        <w:t>]</w:t>
      </w:r>
      <w:r>
        <w:t xml:space="preserve"> </w:t>
      </w:r>
      <w:r>
        <w:rPr>
          <w:u w:val="single"/>
        </w:rPr>
        <w:t xml:space="preserve">Part 1607—Uniform Guidelines on Employee Selection Procedures (1978);</w:t>
      </w:r>
      <w:r>
        <w:t>[</w:t>
      </w:r>
      <w:r>
        <w:rPr>
          <w:strike w:val="true"/>
        </w:rPr>
        <w:t xml:space="preserve">"EEOC Uniform Guidelines on Employee Selection Procedure,</w:t>
      </w:r>
      <w:r>
        <w:t>]</w:t>
      </w:r>
      <w:r>
        <w:t xml:space="preserve"> 29 C.F.R. 1607.1 to 1607.16</w:t>
      </w:r>
      <w:r>
        <w:rPr>
          <w:u w:val="single"/>
        </w:rPr>
        <w:t xml:space="preserve">;</w:t>
      </w:r>
      <w:r>
        <w:t>[</w:t>
      </w:r>
      <w:r>
        <w:rPr>
          <w:strike w:val="true"/>
        </w:rPr>
        <w:t xml:space="preserve">",</w:t>
      </w:r>
      <w:r>
        <w:t>]</w:t>
      </w:r>
      <w:r>
        <w:t xml:space="preserve"> 43 Federal Register 38295, August 25, 1978</w:t>
      </w:r>
      <w:r>
        <w:rPr>
          <w:u w:val="single"/>
        </w:rPr>
        <w:t xml:space="preserve">;</w:t>
      </w:r>
      <w:r>
        <w:t>[</w:t>
      </w:r>
      <w:r>
        <w:rPr>
          <w:strike w:val="true"/>
        </w:rPr>
        <w:t xml:space="preserve">.</w:t>
      </w:r>
      <w:r>
        <w:t>]</w:t>
      </w:r>
    </w:p>
    <w:p>
      <w:pPr>
        <w:pStyle w:val="kar_subsection"/>
      </w:pPr>
      <w:r>
        <w:rPr>
          <w:u w:val="single"/>
        </w:rPr>
        <w:t xml:space="preserve">(4)</w:t>
      </w:r>
      <w:r>
        <w:t>[</w:t>
      </w:r>
      <w:r>
        <w:rPr>
          <w:strike w:val="true"/>
        </w:rPr>
        <w:t xml:space="preserve">(d)</w:t>
      </w:r>
      <w:r>
        <w:t>]</w:t>
      </w:r>
      <w:r>
        <w:t xml:space="preserve"> </w:t>
      </w:r>
      <w:r>
        <w:rPr>
          <w:u w:val="single"/>
        </w:rPr>
        <w:t xml:space="preserve">Part 1606—Guidelines on Discrimination Because of National Origin;</w:t>
      </w:r>
      <w:r>
        <w:t>[</w:t>
      </w:r>
      <w:r>
        <w:rPr>
          <w:strike w:val="true"/>
        </w:rPr>
        <w:t xml:space="preserve">"EEOC Guidelines on Discrimination Because of National Origin,</w:t>
      </w:r>
      <w:r>
        <w:t>]</w:t>
      </w:r>
      <w:r>
        <w:t xml:space="preserve"> 29 C.F.R. 1606.1 to 1606.8</w:t>
      </w:r>
      <w:r>
        <w:rPr>
          <w:u w:val="single"/>
        </w:rPr>
        <w:t xml:space="preserve">;</w:t>
      </w:r>
      <w:r>
        <w:t>[</w:t>
      </w:r>
      <w:r>
        <w:rPr>
          <w:strike w:val="true"/>
        </w:rPr>
        <w:t xml:space="preserve">",</w:t>
      </w:r>
      <w:r>
        <w:t>]</w:t>
      </w:r>
      <w:r>
        <w:t xml:space="preserve"> 45 Federal Register 85635, December 29, 1980</w:t>
      </w:r>
      <w:r>
        <w:rPr>
          <w:u w:val="single"/>
        </w:rPr>
        <w:t xml:space="preserve">, and 64 Federal Register 58333-01, October 29, 1999;</w:t>
      </w:r>
      <w:r>
        <w:t>[</w:t>
      </w:r>
      <w:r>
        <w:rPr>
          <w:strike w:val="true"/>
        </w:rPr>
        <w:t xml:space="preserve">.</w:t>
      </w:r>
      <w:r>
        <w:t>]</w:t>
      </w:r>
    </w:p>
    <w:p>
      <w:pPr>
        <w:pStyle w:val="kar_subsection"/>
      </w:pPr>
      <w:r>
        <w:rPr>
          <w:u w:val="single"/>
        </w:rPr>
        <w:t xml:space="preserve">(5)</w:t>
      </w:r>
      <w:r>
        <w:t>[</w:t>
      </w:r>
      <w:r>
        <w:rPr>
          <w:strike w:val="true"/>
        </w:rPr>
        <w:t xml:space="preserve">(e)</w:t>
      </w:r>
      <w:r>
        <w:t>]</w:t>
      </w:r>
      <w:r>
        <w:t xml:space="preserve"> </w:t>
      </w:r>
      <w:r>
        <w:rPr>
          <w:u w:val="single"/>
        </w:rPr>
        <w:t xml:space="preserve">Part 1630—Regulations to Implement the Equal Employment Provisions of the Americans with Disabilities Act (and Appendix to Part 1630–Interpretative Guidance On Title I of the Americans With Disabilities Act); 29 C.F.R. 1630.1 to 1630.16.; 76 Federal Register 16999, March 25, 2011; and 81 Federal Register 31140, May 17, 2016; and</w:t>
      </w:r>
      <w:r>
        <w:t>[</w:t>
      </w:r>
      <w:r>
        <w:rPr>
          <w:strike w:val="true"/>
        </w:rPr>
        <w:t xml:space="preserve">"Equal Employment Opportunity for Individuals with Disabilities" with Interpretive Guidance on Title I of the Americans with Disabilities Act and the Final Rule and Regulations, 29 C.F.R. 1630", 56 Federal Register 35725, July 26, 1992.</w:t>
      </w:r>
      <w:r>
        <w:t>]</w:t>
      </w:r>
    </w:p>
    <w:p>
      <w:pPr>
        <w:pStyle w:val="kar_subsection"/>
      </w:pPr>
      <w:r>
        <w:rPr>
          <w:u w:val="single"/>
        </w:rPr>
        <w:t xml:space="preserve">(6)</w:t>
      </w:r>
      <w:r>
        <w:t xml:space="preserve"> </w:t>
      </w:r>
      <w:r>
        <w:rPr>
          <w:u w:val="single"/>
        </w:rPr>
        <w:t xml:space="preserve">Part 1625—Age Discrimination in Employment Act; 29 C.F.R. 1625.1 to 1625.32; 46 Federal Register 47726, Sept. 29 1981; 53 Federal Register 5972, Feb. 29, 1988; 72 Federal Register 36875, July 6, 2007; 72 Federal Register 72938-01, Dec. 26, 2007; and 79 Federal Register 13547, March 11, 2014.</w:t>
      </w:r>
    </w:p>
    <w:p>
      <w:pPr>
        <w:pStyle w:val="kar_subsection"/>
      </w:pPr>
      <w:r>
        <w:t>[</w:t>
      </w:r>
      <w:r>
        <w:rPr>
          <w:strike w:val="true"/>
        </w:rPr>
        <w:t xml:space="preserve">(2)</w:t>
      </w:r>
      <w:r>
        <w:t>]</w:t>
      </w:r>
      <w:r>
        <w:t xml:space="preserve"> </w:t>
      </w:r>
      <w:r>
        <w:t>[</w:t>
      </w:r>
      <w:r>
        <w:rPr>
          <w:strike w:val="true"/>
        </w:rPr>
        <w:t xml:space="preserve">The federal regulations may be inspected, copied or obtained:</w:t>
      </w:r>
      <w:r>
        <w:t>]</w:t>
      </w:r>
    </w:p>
    <w:p>
      <w:pPr>
        <w:pStyle w:val="kar_paragraph"/>
      </w:pPr>
      <w:r>
        <w:t>[</w:t>
      </w:r>
      <w:r>
        <w:rPr>
          <w:strike w:val="true"/>
        </w:rPr>
        <w:t xml:space="preserve">(a)</w:t>
      </w:r>
      <w:r>
        <w:t>]</w:t>
      </w:r>
      <w:r>
        <w:t xml:space="preserve"> </w:t>
      </w:r>
      <w:r>
        <w:t>[</w:t>
      </w:r>
      <w:r>
        <w:rPr>
          <w:strike w:val="true"/>
        </w:rPr>
        <w:t xml:space="preserve">At the Office of the Kentucky Commission on Human Rights, The Heyburn Building, Suite 700, 332 West Broadway, Louisville, Kentucky 40202; or</w:t>
      </w:r>
      <w:r>
        <w:t>]</w:t>
      </w:r>
    </w:p>
    <w:p>
      <w:pPr>
        <w:pStyle w:val="kar_paragraph"/>
      </w:pPr>
      <w:r>
        <w:t>[</w:t>
      </w:r>
      <w:r>
        <w:rPr>
          <w:strike w:val="true"/>
        </w:rPr>
        <w:t xml:space="preserve">(b)</w:t>
      </w:r>
      <w:r>
        <w:t>]</w:t>
      </w:r>
      <w:r>
        <w:t xml:space="preserve"> </w:t>
      </w:r>
      <w:r>
        <w:t>[</w:t>
      </w:r>
      <w:r>
        <w:rPr>
          <w:strike w:val="true"/>
        </w:rPr>
        <w:t xml:space="preserve">By calling:</w:t>
      </w:r>
      <w:r>
        <w:t>]</w:t>
      </w:r>
    </w:p>
    <w:p>
      <w:pPr>
        <w:pStyle w:val="kar_subparagraph"/>
      </w:pPr>
      <w:r>
        <w:t>[</w:t>
      </w:r>
      <w:r>
        <w:rPr>
          <w:strike w:val="true"/>
        </w:rPr>
        <w:t xml:space="preserve">1.</w:t>
      </w:r>
      <w:r>
        <w:t>]</w:t>
      </w:r>
      <w:r>
        <w:t xml:space="preserve"> </w:t>
      </w:r>
      <w:r>
        <w:t>[</w:t>
      </w:r>
      <w:r>
        <w:rPr>
          <w:strike w:val="true"/>
        </w:rPr>
        <w:t xml:space="preserve">(502) 595-4024;</w:t>
      </w:r>
      <w:r>
        <w:t>]</w:t>
      </w:r>
    </w:p>
    <w:p>
      <w:pPr>
        <w:pStyle w:val="kar_subparagraph"/>
      </w:pPr>
      <w:r>
        <w:t>[</w:t>
      </w:r>
      <w:r>
        <w:rPr>
          <w:strike w:val="true"/>
        </w:rPr>
        <w:t xml:space="preserve">2.</w:t>
      </w:r>
      <w:r>
        <w:t>]</w:t>
      </w:r>
      <w:r>
        <w:t xml:space="preserve"> </w:t>
      </w:r>
      <w:r>
        <w:t>[</w:t>
      </w:r>
      <w:r>
        <w:rPr>
          <w:strike w:val="true"/>
        </w:rPr>
        <w:t xml:space="preserve">(800) 292-5566;</w:t>
      </w:r>
      <w:r>
        <w:t>]</w:t>
      </w:r>
    </w:p>
    <w:p>
      <w:pPr>
        <w:pStyle w:val="kar_subparagraph"/>
      </w:pPr>
      <w:r>
        <w:t>[</w:t>
      </w:r>
      <w:r>
        <w:rPr>
          <w:strike w:val="true"/>
        </w:rPr>
        <w:t xml:space="preserve">3.</w:t>
      </w:r>
      <w:r>
        <w:t>]</w:t>
      </w:r>
      <w:r>
        <w:t xml:space="preserve"> </w:t>
      </w:r>
      <w:r>
        <w:t>[</w:t>
      </w:r>
      <w:r>
        <w:rPr>
          <w:strike w:val="true"/>
        </w:rPr>
        <w:t xml:space="preserve">(502) 595-4084 (TDD), for the hearing impaired;</w:t>
      </w:r>
      <w:r>
        <w:t>]</w:t>
      </w:r>
    </w:p>
    <w:p>
      <w:pPr>
        <w:pStyle w:val="kar_subparagraph"/>
      </w:pPr>
      <w:r>
        <w:t>[</w:t>
      </w:r>
      <w:r>
        <w:rPr>
          <w:strike w:val="true"/>
        </w:rPr>
        <w:t xml:space="preserve">4.</w:t>
      </w:r>
      <w:r>
        <w:t>]</w:t>
      </w:r>
      <w:r>
        <w:t xml:space="preserve"> </w:t>
      </w:r>
      <w:r>
        <w:t>[</w:t>
      </w:r>
      <w:r>
        <w:rPr>
          <w:strike w:val="true"/>
        </w:rPr>
        <w:t xml:space="preserve">Kentucky Relay Service, (800) 648-6056 (TTY/TDD).</w:t>
      </w:r>
      <w:r>
        <w:t>]</w:t>
      </w:r>
    </w:p>
    <w:p>
      <w:pPr>
        <w:pStyle w:val="kar_paragraph"/>
      </w:pPr>
      <w:r>
        <w:t>[</w:t>
      </w:r>
      <w:r>
        <w:rPr>
          <w:strike w:val="true"/>
        </w:rPr>
        <w:t xml:space="preserve">(c)</w:t>
      </w:r>
      <w:r>
        <w:t>]</w:t>
      </w:r>
      <w:r>
        <w:t xml:space="preserve"> </w:t>
      </w:r>
      <w:r>
        <w:t>[</w:t>
      </w:r>
      <w:r>
        <w:rPr>
          <w:strike w:val="true"/>
        </w:rPr>
        <w:t xml:space="preserve">The material referred to in subsection (1)(e) of this section is also available in the following alternative formats directly from the office of the Americans with Disabilities Act at (202) 514-0301 (voice), (202) 514-0381 (TDD) or (202) 514-6193 (electronic bulletin board):</w:t>
      </w:r>
      <w:r>
        <w:t>]</w:t>
      </w:r>
    </w:p>
    <w:p>
      <w:pPr>
        <w:pStyle w:val="kar_subparagraph"/>
      </w:pPr>
      <w:r>
        <w:t>[</w:t>
      </w:r>
      <w:r>
        <w:rPr>
          <w:strike w:val="true"/>
        </w:rPr>
        <w:t xml:space="preserve">1.</w:t>
      </w:r>
      <w:r>
        <w:t>]</w:t>
      </w:r>
      <w:r>
        <w:t xml:space="preserve"> </w:t>
      </w:r>
      <w:r>
        <w:t>[</w:t>
      </w:r>
      <w:r>
        <w:rPr>
          <w:strike w:val="true"/>
        </w:rPr>
        <w:t xml:space="preserve">Large print;</w:t>
      </w:r>
      <w:r>
        <w:t>]</w:t>
      </w:r>
    </w:p>
    <w:p>
      <w:pPr>
        <w:pStyle w:val="kar_subparagraph"/>
      </w:pPr>
      <w:r>
        <w:t>[</w:t>
      </w:r>
      <w:r>
        <w:rPr>
          <w:strike w:val="true"/>
        </w:rPr>
        <w:t xml:space="preserve">2.</w:t>
      </w:r>
      <w:r>
        <w:t>]</w:t>
      </w:r>
      <w:r>
        <w:t xml:space="preserve"> </w:t>
      </w:r>
      <w:r>
        <w:t>[</w:t>
      </w:r>
      <w:r>
        <w:rPr>
          <w:strike w:val="true"/>
        </w:rPr>
        <w:t xml:space="preserve">Braille;</w:t>
      </w:r>
      <w:r>
        <w:t>]</w:t>
      </w:r>
    </w:p>
    <w:p>
      <w:pPr>
        <w:pStyle w:val="kar_subparagraph"/>
      </w:pPr>
      <w:r>
        <w:t>[</w:t>
      </w:r>
      <w:r>
        <w:rPr>
          <w:strike w:val="true"/>
        </w:rPr>
        <w:t xml:space="preserve">3.</w:t>
      </w:r>
      <w:r>
        <w:t>]</w:t>
      </w:r>
      <w:r>
        <w:t xml:space="preserve"> </w:t>
      </w:r>
      <w:r>
        <w:t>[</w:t>
      </w:r>
      <w:r>
        <w:rPr>
          <w:strike w:val="true"/>
        </w:rPr>
        <w:t xml:space="preserve">Electronic file on computer disk;</w:t>
      </w:r>
      <w:r>
        <w:t>]</w:t>
      </w:r>
    </w:p>
    <w:p>
      <w:pPr>
        <w:pStyle w:val="kar_subparagraph"/>
      </w:pPr>
      <w:r>
        <w:t>[</w:t>
      </w:r>
      <w:r>
        <w:rPr>
          <w:strike w:val="true"/>
        </w:rPr>
        <w:t xml:space="preserve">4.</w:t>
      </w:r>
      <w:r>
        <w:t>]</w:t>
      </w:r>
      <w:r>
        <w:t xml:space="preserve"> </w:t>
      </w:r>
      <w:r>
        <w:t>[</w:t>
      </w:r>
      <w:r>
        <w:rPr>
          <w:strike w:val="true"/>
        </w:rPr>
        <w:t xml:space="preserve">Audio-tape.</w:t>
      </w:r>
      <w:r>
        <w:t>]</w:t>
      </w:r>
    </w:p>
    <w:p>
      <w:pPr>
        <w:pStyle w:val="kar_filed"/>
      </w:pPr>
      <w:r>
        <w:t xml:space="preserve">FILED WITH LRC: June 11, 2024</w:t>
      </w:r>
    </w:p>
    <w:p>
      <w:pPr>
        <w:pStyle w:val="kar_contact_person"/>
      </w:pPr>
      <w:r>
        <w:t xml:space="preserve">CONTACT PERSON: Colt C. Sells, Staff Attorney Manager/Assistant General Counsel, Kentucky Commission on Human Rights, 312 Whittington Parkway, Suite 020, Louisville, Kentucky 40222, phone (502) 595-4024, email colt.sells@ky.gov.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7c0e3909574213" /><Relationship Type="http://schemas.openxmlformats.org/officeDocument/2006/relationships/settings" Target="/word/settings.xml" Id="R527e62661cc24918" /></Relationships>
</file>