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74ba5805964fc8" /></Relationships>
</file>

<file path=word/document.xml><?xml version="1.0" encoding="utf-8"?>
<w:document xmlns:w="http://schemas.openxmlformats.org/wordprocessingml/2006/main">
  <w:body>
    <w:p>
      <w:pPr>
        <w:pStyle w:val="kar_citation"/>
      </w:pPr>
      <w:r>
        <w:t>810 KAR 4:010.</w:t>
      </w:r>
      <w:r>
        <w:t xml:space="preserve"> </w:t>
      </w:r>
      <w:r>
        <w:t xml:space="preserve">Horses.</w:t>
      </w:r>
    </w:p>
    <w:p>
      <w:pPr>
        <w:pStyle w:val="kar_markup_metadata"/>
      </w:pPr>
      <w:r>
        <w:t xml:space="preserve">RELATES TO: </w:t>
      </w:r>
      <w:r>
        <w:t xml:space="preserve">KRS 230.215</w:t>
      </w:r>
    </w:p>
    <w:p>
      <w:pPr>
        <w:pStyle w:val="kar_markup_metadata"/>
      </w:pPr>
      <w:r>
        <w:t xml:space="preserve">STATUTORY AUTHORITY: </w:t>
      </w:r>
      <w:r>
        <w:t xml:space="preserve">KRS 230.215(2)(a), (c), 230.260(8)</w:t>
      </w:r>
    </w:p>
    <w:p>
      <w:pPr>
        <w:pStyle w:val="kar_markup_metadata"/>
      </w:pPr>
      <w:r>
        <w:t xml:space="preserve">CERTIFICATION STATEMENT: </w:t>
      </w:r>
    </w:p>
    <w:p>
      <w:pPr>
        <w:pStyle w:val="kar_markup_metadata"/>
      </w:pPr>
      <w:r>
        <w:t xml:space="preserve">NECESSITY, FUNCTION, AND CONFORMITY: </w:t>
      </w:r>
      <w:r>
        <w:t xml:space="preserve">KRS 230.215(2)(a) and (c) and 230.260(8) authorize the Kentucky Horse Racing and Gaming Corporation 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corporation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corporation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corporation's jurisdiction; and</w:t>
      </w:r>
    </w:p>
    <w:p>
      <w:pPr>
        <w:pStyle w:val="kar_paragraph"/>
      </w:pPr>
      <w:r>
        <w:t xml:space="preserve">(b)</w:t>
      </w:r>
      <w:r>
        <w:t xml:space="preserve"> </w:t>
      </w:r>
      <w:r>
        <w:t xml:space="preserve">Solely on the owner of the denerved horse if the neurectomy was performed at a location not under the corporation's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corporation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corporation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corporation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 unless the horse on a veterinarian's list, stewards' list, or starter's list has a posted off date on or before the date of the race for which it is being entered;</w:t>
      </w:r>
    </w:p>
    <w:p>
      <w:pPr>
        <w:pStyle w:val="kar_subsection"/>
      </w:pPr>
      <w:r>
        <w:t xml:space="preserve">(3)</w:t>
      </w:r>
      <w:r>
        <w:t xml:space="preserve"> </w:t>
      </w:r>
      <w:r>
        <w:t xml:space="preserve">Has previously raced, but has made no starts in the last 365 days or more, unless approved by a corporation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p>
    <w:p>
      <w:pPr>
        <w:pStyle w:val="kar_paragraph"/>
      </w:pPr>
      <w:r>
        <w:t xml:space="preserve">(a)</w:t>
      </w:r>
      <w:r>
        <w:t xml:space="preserve"> </w:t>
      </w:r>
      <w:r>
        <w:t xml:space="preserve">Except as established in paragraph (c) of this subsection, the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paragraph"/>
      </w:pPr>
      <w:r>
        <w:t xml:space="preserve">(c)</w:t>
      </w:r>
      <w:r>
        <w:t xml:space="preserve"> </w:t>
      </w:r>
      <w:r>
        <w:t xml:space="preserve">Front horse shoes on quarter horses may have a toe grab that measures up to four (4) millimeters from the ground surface side of the shoe. Hind horse shoes on quarter horses may have a toe grab, that measures up to one-quarter (1/4) inch from the ground surface side of the shoe.</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corporation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corporation shall report the death or euthanization of any horse on its grounds immediately to the chief corporation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corporation shall undergo a postmortem examination at the discretion of the corporation.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corporation,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corporation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and Gaming Corporation[Commission], 4047 Iron Works Parkway, Lexington, Kentucky, Monday through Friday, 8 a.m. to 4:30 p.m. This document is also available on the International Organization for Standardization ("ISO") Web site at https://www.iso.org/standard/38799.html.</w:t>
      </w:r>
    </w:p>
    <w:p>
      <w:pPr>
        <w:pStyle w:val="kar_history"/>
      </w:pPr>
      <w:r>
        <w:t xml:space="preserve">(45 Ky.R. 1915; 3113; eff. 5-31-2019; 47 Ky.R. 1274, 1965; eff. 7-6-2021; 48 Ky.R. 2626; eff. 10-4-2022; 50 Ky.R. 470, 1284; eff. 3-5-2024;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a29ecfffe1465c" /><Relationship Type="http://schemas.openxmlformats.org/officeDocument/2006/relationships/settings" Target="/word/settings.xml" Id="Rac29d3b4045a40ad" /></Relationships>
</file>