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71733190124667" /></Relationships>
</file>

<file path=word/document.xml><?xml version="1.0" encoding="utf-8"?>
<w:document xmlns:w="http://schemas.openxmlformats.org/wordprocessingml/2006/main">
  <w:body>
    <w:p>
      <w:pPr>
        <w:pStyle w:val="kar_citation"/>
      </w:pPr>
      <w:r>
        <w:t>810 KAR 8:020.</w:t>
      </w:r>
      <w:r>
        <w:t xml:space="preserve"> </w:t>
      </w:r>
      <w:r>
        <w:t xml:space="preserve">Drug, medication, and substance classification schedule.</w:t>
      </w:r>
    </w:p>
    <w:p>
      <w:pPr>
        <w:pStyle w:val="kar_markup_metadata"/>
      </w:pPr>
      <w:r>
        <w:t xml:space="preserve">RELATES TO: </w:t>
      </w:r>
      <w:r>
        <w:t xml:space="preserve">KRS 230.215, 230.225, 230.240, 230.260, 230.265, 230.290, 230.320, 230.370</w:t>
      </w:r>
    </w:p>
    <w:p>
      <w:pPr>
        <w:pStyle w:val="kar_markup_metadata"/>
      </w:pPr>
      <w:r>
        <w:t xml:space="preserve">STATUTORY AUTHORITY: </w:t>
      </w:r>
      <w:r>
        <w:t xml:space="preserve">KRS 230.215(2), 230.225, 230.240(2), 230.260, 230.320, 230.370</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and Gaming Corporation (the "corporation") to promulgate administrative regulations prescribing conditions under which all legitimate horse racing and wagering thereon is conducted in Kentucky. KRS 230.240(2) requires the corporation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and Gaming Corporation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MethyleneDioxypyrovalene(MDPV; 3,4Methylenedioxy-pyrovalerone)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Adrenochromemonosemicarbazonesalicylate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t xml:space="preserve">Levamisole</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410160ba384cf9" /><Relationship Type="http://schemas.openxmlformats.org/officeDocument/2006/relationships/settings" Target="/word/settings.xml" Id="R76e2ac38c0894c94" /></Relationships>
</file>