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9e5c63f0c84a9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CERTIFICATION STATEMENT: </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314.073(8).</w:t>
      </w:r>
    </w:p>
    <w:p>
      <w:pPr>
        <w:pStyle w:val="kar_paragraph"/>
      </w:pPr>
      <w:r>
        <w:t xml:space="preserve">(b)</w:t>
      </w:r>
      <w:r>
        <w:t xml:space="preserve"> </w:t>
      </w:r>
      <w:r>
        <w:t xml:space="preserve">An APRN who is registered with the DEA and has a PDMP account, as defined by 201 KAR 20:057, Section 1(7),shall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w:t>
      </w:r>
      <w:r>
        <w:rPr>
          <w:strike w:val="true"/>
        </w:rPr>
        <w:t xml:space="preserve">Registered nurses and licensed practical nurses</w:t>
      </w:r>
      <w:r>
        <w:t>]</w:t>
      </w:r>
      <w:r>
        <w:rPr>
          <w:u w:val="single"/>
        </w:rPr>
        <w:t xml:space="preserve">Nurses</w:t>
      </w:r>
      <w:r>
        <w:t xml:space="preserve"> shall earn, </w:t>
      </w:r>
      <w:r>
        <w:rPr>
          <w:u w:val="single"/>
        </w:rPr>
        <w:t xml:space="preserve">the following one (1) time continuing education requirements:</w:t>
      </w:r>
      <w:r>
        <w:t>[</w:t>
      </w:r>
      <w:r>
        <w:rPr>
          <w:strike w:val="true"/>
        </w:rPr>
        <w:t xml:space="preserve">within three (3) years of licensure</w:t>
      </w:r>
      <w:r>
        <w:t>]</w:t>
      </w:r>
      <w: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minimum of one and one-half (1.5) contact hours in pediatric abusive head trauma as required by KRS 314.073(6)</w:t>
      </w:r>
      <w:r>
        <w:rPr>
          <w:u w:val="single"/>
        </w:rPr>
        <w:t xml:space="preserve">;</w:t>
      </w:r>
      <w:r>
        <w:t>[</w:t>
      </w:r>
      <w:r>
        <w:rPr>
          <w:strike w:val="true"/>
        </w:rPr>
        <w:t xml:space="preserve">, and</w:t>
      </w:r>
      <w:r>
        <w:t>]</w:t>
      </w:r>
    </w:p>
    <w:p>
      <w:pPr>
        <w:pStyle w:val="kar_paragraph"/>
      </w:pPr>
      <w:r>
        <w:rPr>
          <w:u w:val="single"/>
        </w:rPr>
        <w:t xml:space="preserve">(b)</w:t>
      </w:r>
      <w:r>
        <w:t xml:space="preserve"> </w:t>
      </w:r>
      <w:r>
        <w:rPr>
          <w:u w:val="single"/>
        </w:rPr>
        <w:t xml:space="preserve">A</w:t>
      </w:r>
      <w:r>
        <w:t>[</w:t>
      </w:r>
      <w:r>
        <w:rPr>
          <w:strike w:val="true"/>
        </w:rPr>
        <w:t xml:space="preserve">a</w:t>
      </w:r>
      <w:r>
        <w:t>]</w:t>
      </w:r>
      <w:r>
        <w:t xml:space="preserve"> minimum of three (3) contact hours on domestic violence, and elder abuse, neglect, and exploitation as required by KRS 194A.540</w:t>
      </w:r>
      <w:r>
        <w:rPr>
          <w:u w:val="single"/>
        </w:rPr>
        <w:t xml:space="preserve">(9)(d);</w:t>
      </w:r>
    </w:p>
    <w:p>
      <w:pPr>
        <w:pStyle w:val="kar_paragraph"/>
      </w:pPr>
      <w:r>
        <w:rPr>
          <w:u w:val="single"/>
        </w:rPr>
        <w:t xml:space="preserve">(c)</w:t>
      </w:r>
      <w:r>
        <w:t xml:space="preserve"> </w:t>
      </w:r>
      <w:r>
        <w:rPr>
          <w:u w:val="single"/>
        </w:rPr>
        <w:t xml:space="preserve">A minimum of one (1) contact hour on Alzheimer's disease and other forms of dementia as required by KRS 314.073(7)</w:t>
      </w:r>
      <w:r>
        <w:t xml:space="preserve">.</w:t>
      </w:r>
    </w:p>
    <w:p>
      <w:pPr>
        <w:pStyle w:val="kar_subsection"/>
      </w:pPr>
      <w:r>
        <w:t>[</w:t>
      </w:r>
      <w:r>
        <w:rPr>
          <w:strike w:val="true"/>
        </w:rPr>
        <w:t xml:space="preserve">(6)</w:t>
      </w:r>
      <w:r>
        <w:t>]</w:t>
      </w:r>
      <w:r>
        <w:t xml:space="preserve"> </w:t>
      </w:r>
      <w:r>
        <w:t>[</w:t>
      </w:r>
      <w:r>
        <w:rPr>
          <w:strike w:val="true"/>
        </w:rPr>
        <w:t xml:space="preserve">Registered nurses, licensed practical nurses, and advanced practice registered nurses who hold an active nursing license on July 1, 2022, shall satisfy the continuing competency requirement in subsection (8) of this section on or before July 1, 2023.</w:t>
      </w:r>
      <w:r>
        <w:t>]</w:t>
      </w:r>
    </w:p>
    <w:p>
      <w:pPr>
        <w:pStyle w:val="kar_subsection"/>
      </w:pPr>
      <w:r>
        <w:t>[</w:t>
      </w:r>
      <w:r>
        <w:rPr>
          <w:strike w:val="true"/>
        </w:rPr>
        <w:t xml:space="preserve">(7)</w:t>
      </w:r>
      <w:r>
        <w:t>]</w:t>
      </w:r>
      <w:r>
        <w:t xml:space="preserve"> </w:t>
      </w:r>
      <w:r>
        <w:t>[</w:t>
      </w:r>
      <w:r>
        <w:rPr>
          <w:strike w:val="true"/>
        </w:rPr>
        <w:t xml:space="preserve">Registered nurses, licensed practical nurses, and advanced practice registered nurses who obtain licensure by examination, endorsement, or reinstatement after July 1, 2022, shall satisfy the continuing competency requirement in subsection (8) of this section within three (3) years of licensure.</w:t>
      </w:r>
      <w:r>
        <w:t>]</w:t>
      </w:r>
    </w:p>
    <w:p>
      <w:pPr>
        <w:pStyle w:val="kar_paragraph"/>
      </w:pPr>
      <w:r>
        <w:rPr>
          <w:u w:val="single"/>
        </w:rPr>
        <w:t xml:space="preserve">(d)</w:t>
      </w:r>
      <w:r>
        <w:t>[</w:t>
      </w:r>
      <w:r>
        <w:rPr>
          <w:strike w:val="true"/>
        </w:rPr>
        <w:t xml:space="preserve">(8)</w:t>
      </w:r>
      <w:r>
        <w:t>]</w:t>
      </w:r>
      <w:r>
        <w:t xml:space="preserve"> </w:t>
      </w:r>
      <w:r>
        <w:t>[</w:t>
      </w:r>
      <w:r>
        <w:rPr>
          <w:strike w:val="true"/>
        </w:rPr>
        <w:t xml:space="preserve">Nurses shall earn a</w:t>
      </w:r>
      <w:r>
        <w:t>]</w:t>
      </w:r>
      <w:r>
        <w:rPr>
          <w:u w:val="single"/>
        </w:rPr>
        <w:t xml:space="preserve"> A</w:t>
      </w:r>
      <w:r>
        <w:t xml:space="preserve"> minimum of two (2) contact hours on the subject of suicide prevention, which shall consist of one (1) contact hour on suicide prevention generally, and one (1) contact hour that addresses:</w:t>
      </w:r>
    </w:p>
    <w:p>
      <w:pPr>
        <w:pStyle w:val="kar_subparagraph"/>
      </w:pPr>
      <w:r>
        <w:rPr>
          <w:u w:val="single"/>
        </w:rPr>
        <w:t xml:space="preserve">1.</w:t>
      </w:r>
      <w:r>
        <w:t>[</w:t>
      </w:r>
      <w:r>
        <w:rPr>
          <w:strike w:val="true"/>
        </w:rPr>
        <w:t xml:space="preserve">(a)</w:t>
      </w:r>
      <w:r>
        <w:t>]</w:t>
      </w:r>
      <w:r>
        <w:t xml:space="preserve"> </w:t>
      </w:r>
      <w:r>
        <w:t xml:space="preserve">Chronic toxic stress and secondary traumatic stress potentially increasing the incidence of suicide amongst nurses;</w:t>
      </w:r>
    </w:p>
    <w:p>
      <w:pPr>
        <w:pStyle w:val="kar_subparagraph"/>
      </w:pPr>
      <w:r>
        <w:rPr>
          <w:u w:val="single"/>
        </w:rPr>
        <w:t xml:space="preserve">2.</w:t>
      </w:r>
      <w:r>
        <w:t>[</w:t>
      </w:r>
      <w:r>
        <w:rPr>
          <w:strike w:val="true"/>
        </w:rPr>
        <w:t xml:space="preserve">(b)</w:t>
      </w:r>
      <w:r>
        <w:t>]</w:t>
      </w:r>
      <w:r>
        <w:t xml:space="preserve"> </w:t>
      </w:r>
      <w:r>
        <w:t xml:space="preserve">A confidential and standardized pathway to care for nurses that addresses screening, assessing, safety planning, referrals, and follow-up for nurses at risk for suicide;</w:t>
      </w:r>
    </w:p>
    <w:p>
      <w:pPr>
        <w:pStyle w:val="kar_subparagraph"/>
      </w:pPr>
      <w:r>
        <w:rPr>
          <w:u w:val="single"/>
        </w:rPr>
        <w:t xml:space="preserve">3.</w:t>
      </w:r>
      <w:r>
        <w:t>[</w:t>
      </w:r>
      <w:r>
        <w:rPr>
          <w:strike w:val="true"/>
        </w:rPr>
        <w:t xml:space="preserve">(c)</w:t>
      </w:r>
      <w:r>
        <w:t>]</w:t>
      </w:r>
      <w:r>
        <w:t xml:space="preserve"> </w:t>
      </w:r>
      <w:r>
        <w:t xml:space="preserve">Systems of care, evidence-informed approaches, and best practices to reduce suicide rates; and</w:t>
      </w:r>
    </w:p>
    <w:p>
      <w:pPr>
        <w:pStyle w:val="kar_subparagraph"/>
      </w:pPr>
      <w:r>
        <w:rPr>
          <w:u w:val="single"/>
        </w:rPr>
        <w:t xml:space="preserve">4.</w:t>
      </w:r>
      <w:r>
        <w:t>[</w:t>
      </w:r>
      <w:r>
        <w:rPr>
          <w:strike w:val="true"/>
        </w:rPr>
        <w:t xml:space="preserve">(d)</w:t>
      </w:r>
      <w:r>
        <w:t>]</w:t>
      </w:r>
      <w:r>
        <w:t xml:space="preserve"> </w:t>
      </w:r>
      <w:r>
        <w:t xml:space="preserve">Ethical legal considerations of caring for patients and nurses who are suicidal.</w:t>
      </w:r>
    </w:p>
    <w:p>
      <w:pPr>
        <w:pStyle w:val="kar_subsection"/>
      </w:pPr>
      <w:r>
        <w:rPr>
          <w:u w:val="single"/>
        </w:rPr>
        <w:t xml:space="preserve">(6)</w:t>
      </w:r>
      <w:r>
        <w:t xml:space="preserve"> </w:t>
      </w:r>
      <w:r>
        <w:rPr>
          <w:u w:val="single"/>
        </w:rPr>
        <w:t xml:space="preserve">Nurses who have satisfied each of the continuing education requirements in subsection (5) of this section on or before July 15, 2024, shall not be required to complete them again.</w:t>
      </w:r>
    </w:p>
    <w:p>
      <w:pPr>
        <w:pStyle w:val="kar_subsection"/>
      </w:pPr>
      <w:r>
        <w:rPr>
          <w:u w:val="single"/>
        </w:rPr>
        <w:t xml:space="preserve">(7)</w:t>
      </w:r>
      <w:r>
        <w:t xml:space="preserve"> </w:t>
      </w:r>
      <w:r>
        <w:rPr>
          <w:u w:val="single"/>
        </w:rP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rPr>
          <w:u w:val="single"/>
        </w:rPr>
        <w:t xml:space="preserve">(8)</w:t>
      </w:r>
      <w:r>
        <w:t xml:space="preserve"> </w:t>
      </w:r>
      <w:r>
        <w:rPr>
          <w:u w:val="single"/>
        </w:rPr>
        <w:t xml:space="preserve">The following licensees shall satisfy the continuing competency requirement in subsection (5) of this section within three (3) years of licensure:</w:t>
      </w:r>
    </w:p>
    <w:p>
      <w:pPr>
        <w:pStyle w:val="kar_paragraph"/>
      </w:pPr>
      <w:r>
        <w:rPr>
          <w:u w:val="single"/>
        </w:rPr>
        <w:t xml:space="preserve">(a)</w:t>
      </w:r>
      <w:r>
        <w:t xml:space="preserve"> </w:t>
      </w:r>
      <w:r>
        <w:rPr>
          <w:u w:val="single"/>
        </w:rPr>
        <w:t xml:space="preserve">Registered nurses and licensed practical nurses who graduated from a Kentucky program of nursing that did not include the curriculum additions in 201 KAR 20:320, Section 6 and obtain licensure by examination or reinstatement after July 15, 2024;</w:t>
      </w:r>
    </w:p>
    <w:p>
      <w:pPr>
        <w:pStyle w:val="kar_paragraph"/>
      </w:pPr>
      <w:r>
        <w:rPr>
          <w:u w:val="single"/>
        </w:rPr>
        <w:t xml:space="preserve">(b)</w:t>
      </w:r>
      <w:r>
        <w:t xml:space="preserve"> </w:t>
      </w:r>
      <w:r>
        <w:rPr>
          <w:u w:val="single"/>
        </w:rPr>
        <w:t xml:space="preserve">Advanced practice registered nurses who hold a privilege to practice as a registered nurse and obtain initial licensure after July 15, 2024; and</w:t>
      </w:r>
    </w:p>
    <w:p>
      <w:pPr>
        <w:pStyle w:val="kar_paragraph"/>
      </w:pPr>
      <w:r>
        <w:rPr>
          <w:u w:val="single"/>
        </w:rPr>
        <w:t xml:space="preserve">(c)</w:t>
      </w:r>
      <w:r>
        <w:t xml:space="preserve"> </w:t>
      </w:r>
      <w:r>
        <w:rPr>
          <w:u w:val="single"/>
        </w:rPr>
        <w:t xml:space="preserve">Registered nurses and licensed practical nurses who have graduated from an out-of-state program of nursing and obtain licensure through examination, endorsement, or reinstatement after July 15, 2024.</w:t>
      </w:r>
    </w:p>
    <w:p>
      <w:pPr>
        <w:pStyle w:val="kar_subsection"/>
      </w:pPr>
      <w:r>
        <w:rPr>
          <w:u w:val="single"/>
        </w:rPr>
        <w:t xml:space="preserve">(9)</w:t>
      </w:r>
      <w:r>
        <w:t xml:space="preserve"> </w:t>
      </w:r>
      <w:r>
        <w:rPr>
          <w:u w:val="single"/>
        </w:rP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signature"/>
      </w:pPr>
      <w:r>
        <w:t xml:space="preserve">AUDRIA DENKER, President</w:t>
      </w:r>
    </w:p>
    <w:p>
      <w:pPr>
        <w:pStyle w:val="kar_approved_by"/>
      </w:pPr>
      <w:r>
        <w:t xml:space="preserve">APPROVED BY AGENCY: June 20, 2024</w:t>
      </w:r>
    </w:p>
    <w:p>
      <w:pPr>
        <w:pStyle w:val="kar_filed"/>
      </w:pPr>
      <w:r>
        <w:t xml:space="preserve">FILED WITH LRC: July 9, 2024 at 12:05 p.m.</w:t>
      </w:r>
    </w:p>
    <w:p>
      <w:pPr>
        <w:pStyle w:val="kar_comment_period"/>
      </w:pPr>
      <w:r>
        <w:t xml:space="preserve">PUBLIC HEARING AND PUBLIC COMMENT PERIOD: A public hearing on this administrative regulation shall be held on September 23, 2024 at 10:00 AM at Kentucky Board of Nursing, 312 Whittington Parkway, Ste 300, Louisville, Kentucky 40222. Individuals interested in being heard at this hearing shall notify this agency in writing by September 16,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Continuing Education (CE) requirements for nurses, as required by KRS 314.073 and 314.131.</w:t>
      </w:r>
    </w:p>
    <w:p>
      <w:pPr>
        <w:pStyle w:val="kar_normal"/>
        <w:ind w:left="576"/>
      </w:pPr>
      <w:r>
        <w:t xml:space="preserve">(b) The necessity of this administrative regulation:</w:t>
      </w:r>
    </w:p>
    <w:p>
      <w:pPr>
        <w:pStyle w:val="kar_normal"/>
        <w:ind w:left="720"/>
      </w:pPr>
      <w:r>
        <w:t xml:space="preserve">CEs are mandated by KRS 314.073 and 314.131.</w:t>
      </w:r>
    </w:p>
    <w:p>
      <w:pPr>
        <w:pStyle w:val="kar_normal"/>
        <w:ind w:left="576"/>
      </w:pPr>
      <w:r>
        <w:t xml:space="preserve">(c) How this administrative regulation conforms to the content of the authorizing statutes:</w:t>
      </w:r>
    </w:p>
    <w:p>
      <w:pPr>
        <w:pStyle w:val="kar_normal"/>
        <w:ind w:left="720"/>
      </w:pPr>
      <w:r>
        <w:t xml:space="preserve">By setting CE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CEs for required training on subjects to maintain competency.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During the 2024 Revgular Session the General Assembly passed House Bill (HB) 459, which amended KRS 314.073 to include a one-time continuing education (CE) requirement on the topics of dementia and Alzheimer’s. The regulation further clears up timing requirements for one-time CEs.</w:t>
      </w:r>
    </w:p>
    <w:p>
      <w:pPr>
        <w:pStyle w:val="kar_normal"/>
        <w:ind w:left="576"/>
      </w:pPr>
      <w:r>
        <w:t xml:space="preserve">(b) The necessity of the amendment to this administrative regulation:</w:t>
      </w:r>
    </w:p>
    <w:p>
      <w:pPr>
        <w:pStyle w:val="kar_normal"/>
        <w:ind w:left="720"/>
      </w:pPr>
      <w:r>
        <w:t xml:space="preserve">To set regulatory standards for the training.</w:t>
      </w:r>
    </w:p>
    <w:p>
      <w:pPr>
        <w:pStyle w:val="kar_normal"/>
        <w:ind w:left="576"/>
      </w:pPr>
      <w:r>
        <w:t xml:space="preserve">(c) How the amendment conforms to the content of the authorizing statutes:</w:t>
      </w:r>
    </w:p>
    <w:p>
      <w:pPr>
        <w:pStyle w:val="kar_normal"/>
        <w:ind w:left="720"/>
      </w:pPr>
      <w:r>
        <w:t xml:space="preserve">By setting CE standards in accordance with KRS 314.073 and 314.131.</w:t>
      </w:r>
    </w:p>
    <w:p>
      <w:pPr>
        <w:pStyle w:val="kar_normal"/>
        <w:ind w:left="576"/>
      </w:pPr>
      <w:r>
        <w:t xml:space="preserve">(d) How the amendment will assist in the effective administration of the statutes:</w:t>
      </w:r>
    </w:p>
    <w:p>
      <w:pPr>
        <w:pStyle w:val="kar_normal"/>
        <w:ind w:left="720"/>
      </w:pPr>
      <w:r>
        <w:t xml:space="preserve">By assisting with the administration of KRS 314.073 and 314.131.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nurses licensed by the Board, approximately 90,000.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If audited, nurses will need to provide evidence of meeting CE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impossible to determine the amount, each CE may be obtained for free or a cost.</w:t>
      </w:r>
    </w:p>
    <w:p>
      <w:pPr>
        <w:pStyle w:val="kar_normal"/>
        <w:ind w:left="576"/>
      </w:pPr>
      <w:r>
        <w:t xml:space="preserve">(c) As a result of compliance, what benefits will accrue to the entities identified in question (3):</w:t>
      </w:r>
    </w:p>
    <w:p>
      <w:pPr>
        <w:pStyle w:val="kar_normal"/>
        <w:ind w:left="720"/>
      </w:pPr>
      <w:r>
        <w:t xml:space="preserve">Compliance with statutes and regulations and continued competency regarding needs of the senior population.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is fees is not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314.073, 314.131(1), (2).</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Nurses and Continuing Education (CE) Providers.</w:t>
      </w:r>
    </w:p>
    <w:p>
      <w:pPr>
        <w:pStyle w:val="kar_normal"/>
        <w:ind w:left="576"/>
      </w:pPr>
      <w:r>
        <w:t xml:space="preserve">(a) Estimate the following for the first year:</w:t>
      </w:r>
    </w:p>
    <w:p>
      <w:pPr>
        <w:pStyle w:val="kar_normal"/>
        <w:ind w:left="864"/>
      </w:pPr>
      <w:r>
        <w:t xml:space="preserve">Expenditures:</w:t>
      </w:r>
      <w:r>
        <w:t xml:space="preserve"> Nurses may have to pay a fee to the CE provider to take the new training. However, expenditures are unknown.</w:t>
      </w:r>
    </w:p>
    <w:p>
      <w:pPr>
        <w:pStyle w:val="kar_normal"/>
        <w:ind w:left="864"/>
      </w:pPr>
      <w:r>
        <w:t xml:space="preserve">Revenues:</w:t>
      </w:r>
      <w:r>
        <w:t xml:space="preserve"> Revenues to CE Providers are unknown.</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revenues, or cost savings. Expenditures may lower after a CE Provider creates a course the complies with the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CE Providers may offer courses for a fee that comply with the amendments to the regulation. However, the potential revenues are unknown.</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006347a6e4385" /><Relationship Type="http://schemas.openxmlformats.org/officeDocument/2006/relationships/settings" Target="/word/settings.xml" Id="Ra3bbc61c8b3e495b" /></Relationships>
</file>